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77777777" w:rsidR="004C29CA" w:rsidRPr="007A0D8E" w:rsidRDefault="004C29CA" w:rsidP="0000790C">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Default="004C29CA" w:rsidP="0000790C">
      <w:pPr>
        <w:ind w:right="-35"/>
        <w:jc w:val="right"/>
        <w:rPr>
          <w:rFonts w:ascii="Bookman Old Style" w:hAnsi="Bookman Old Style" w:cs="Arial"/>
          <w:b/>
          <w:i/>
          <w:iCs/>
          <w:sz w:val="28"/>
          <w:szCs w:val="28"/>
          <w:lang w:val="el-GR"/>
        </w:rPr>
      </w:pPr>
    </w:p>
    <w:p w14:paraId="7C310DF1" w14:textId="1A6A1AF3"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7C03D1" w:rsidRPr="00A231EA">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00F0D004" w14:textId="3F957853" w:rsidR="004C29CA" w:rsidRPr="007C03D1"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7C03D1">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7C03D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7C03D1">
        <w:rPr>
          <w:rFonts w:ascii="Bookman Old Style" w:hAnsi="Bookman Old Style" w:cs="Arial"/>
          <w:b/>
          <w:bCs/>
          <w:i/>
          <w:iCs/>
          <w:sz w:val="28"/>
          <w:szCs w:val="28"/>
          <w:lang w:val="el-GR"/>
        </w:rPr>
        <w:t>)</w:t>
      </w:r>
    </w:p>
    <w:p w14:paraId="3168C780" w14:textId="77777777" w:rsidR="004C29CA" w:rsidRDefault="004C29CA" w:rsidP="0000790C">
      <w:pPr>
        <w:ind w:right="-35"/>
        <w:jc w:val="center"/>
        <w:rPr>
          <w:rFonts w:ascii="Bookman Old Style" w:hAnsi="Bookman Old Style" w:cs="Arial"/>
          <w:b/>
          <w:bCs/>
          <w:sz w:val="28"/>
          <w:szCs w:val="28"/>
          <w:lang w:val="el-GR"/>
        </w:rPr>
      </w:pPr>
    </w:p>
    <w:p w14:paraId="45A9E568" w14:textId="77777777" w:rsidR="00AC2FD6" w:rsidRDefault="00AC2FD6" w:rsidP="0000790C">
      <w:pPr>
        <w:ind w:right="-35"/>
        <w:jc w:val="center"/>
        <w:rPr>
          <w:rFonts w:ascii="Bookman Old Style" w:hAnsi="Bookman Old Style" w:cs="Arial"/>
          <w:b/>
          <w:bCs/>
          <w:sz w:val="28"/>
          <w:szCs w:val="28"/>
          <w:lang w:val="el-GR"/>
        </w:rPr>
      </w:pPr>
    </w:p>
    <w:p w14:paraId="1BBA4D20" w14:textId="4ACC83AF" w:rsidR="004C29CA" w:rsidRDefault="0012697D"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16 </w:t>
      </w:r>
      <w:r w:rsidR="00186D6E">
        <w:rPr>
          <w:rFonts w:ascii="Bookman Old Style" w:hAnsi="Bookman Old Style" w:cs="Arial"/>
          <w:b/>
          <w:sz w:val="28"/>
          <w:szCs w:val="28"/>
          <w:lang w:val="el-GR"/>
        </w:rPr>
        <w:t>Ιανουαρίου,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65231D">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6C7146BF"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3E48DF">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197A662C"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07AE5245"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4596E1F4"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8673305"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3A1D1771"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09190E9D"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152583B"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6F0F95F0"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43F81578" w14:textId="3C59DAB8"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ΕΤΑΙΡΕΙΑ </w:t>
      </w:r>
      <w:r>
        <w:rPr>
          <w:rFonts w:ascii="Bookman Old Style" w:hAnsi="Bookman Old Style"/>
          <w:color w:val="000000"/>
          <w:sz w:val="28"/>
          <w:szCs w:val="28"/>
          <w:lang w:val="en-US" w:bidi="el-GR"/>
        </w:rPr>
        <w:t>ALPHA</w:t>
      </w:r>
      <w:r w:rsidRPr="00A47311">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PANARETI</w:t>
      </w:r>
      <w:r w:rsidRPr="00A47311">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PUBLIC</w:t>
      </w:r>
      <w:r w:rsidRPr="00A47311">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LTD</w:t>
      </w:r>
      <w:r>
        <w:rPr>
          <w:rFonts w:ascii="Bookman Old Style" w:hAnsi="Bookman Old Style"/>
          <w:color w:val="000000"/>
          <w:sz w:val="28"/>
          <w:szCs w:val="28"/>
          <w:lang w:bidi="el-GR"/>
        </w:rPr>
        <w:t xml:space="preserve">                    </w:t>
      </w:r>
      <w:r w:rsidRPr="00A47311">
        <w:rPr>
          <w:rFonts w:ascii="Bookman Old Style" w:hAnsi="Bookman Old Style"/>
          <w:color w:val="000000"/>
          <w:sz w:val="28"/>
          <w:szCs w:val="28"/>
          <w:lang w:bidi="el-GR"/>
        </w:rPr>
        <w:t>(</w:t>
      </w:r>
      <w:r>
        <w:rPr>
          <w:rFonts w:ascii="Bookman Old Style" w:hAnsi="Bookman Old Style"/>
          <w:color w:val="000000"/>
          <w:sz w:val="28"/>
          <w:szCs w:val="28"/>
          <w:lang w:val="en-US" w:bidi="el-GR"/>
        </w:rPr>
        <w:t>HE</w:t>
      </w:r>
      <w:r w:rsidRPr="00A47311">
        <w:rPr>
          <w:rFonts w:ascii="Bookman Old Style" w:hAnsi="Bookman Old Style"/>
          <w:color w:val="000000"/>
          <w:sz w:val="28"/>
          <w:szCs w:val="28"/>
          <w:lang w:bidi="el-GR"/>
        </w:rPr>
        <w:t xml:space="preserve"> 34103)</w:t>
      </w:r>
      <w:r>
        <w:rPr>
          <w:rFonts w:ascii="Bookman Old Style" w:hAnsi="Bookman Old Style"/>
          <w:color w:val="000000"/>
          <w:sz w:val="28"/>
          <w:szCs w:val="28"/>
          <w:lang w:bidi="el-GR"/>
        </w:rPr>
        <w:t xml:space="preserve"> ΕΚ ΠΑΦΟΥ</w:t>
      </w:r>
    </w:p>
    <w:p w14:paraId="1F5C6B0C"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378365A8"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val="en-US" w:bidi="el-GR"/>
        </w:rPr>
      </w:pPr>
      <w:r>
        <w:rPr>
          <w:rFonts w:ascii="Bookman Old Style" w:hAnsi="Bookman Old Style"/>
          <w:color w:val="000000"/>
          <w:sz w:val="28"/>
          <w:szCs w:val="28"/>
          <w:lang w:val="en-US" w:bidi="el-GR"/>
        </w:rPr>
        <w:t>KAI</w:t>
      </w:r>
    </w:p>
    <w:p w14:paraId="46DF9DA5"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val="en-US" w:bidi="el-GR"/>
        </w:rPr>
      </w:pPr>
    </w:p>
    <w:p w14:paraId="0BAFA4F3" w14:textId="77777777" w:rsidR="003B5797" w:rsidRPr="00900A4F" w:rsidRDefault="003B5797" w:rsidP="003B5797">
      <w:pPr>
        <w:pStyle w:val="Bodytext20"/>
        <w:shd w:val="clear" w:color="auto" w:fill="auto"/>
        <w:spacing w:before="0" w:line="276" w:lineRule="auto"/>
        <w:ind w:right="-35"/>
        <w:rPr>
          <w:rFonts w:ascii="Bookman Old Style" w:hAnsi="Bookman Old Style"/>
          <w:color w:val="000000"/>
          <w:sz w:val="28"/>
          <w:szCs w:val="28"/>
          <w:lang w:val="en-US" w:bidi="el-GR"/>
        </w:rPr>
      </w:pPr>
      <w:r>
        <w:rPr>
          <w:rFonts w:ascii="Bookman Old Style" w:hAnsi="Bookman Old Style"/>
          <w:color w:val="000000"/>
          <w:sz w:val="28"/>
          <w:szCs w:val="28"/>
          <w:lang w:bidi="el-GR"/>
        </w:rPr>
        <w:t>ΑΝΑΦΟΡΙΚΑ</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bidi="el-GR"/>
        </w:rPr>
        <w:t>ΜΕ</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bidi="el-GR"/>
        </w:rPr>
        <w:t>ΤΗΝ</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bidi="el-GR"/>
        </w:rPr>
        <w:t>ΕΤΑΙΡΕΙΑ</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val="en-US" w:bidi="el-GR"/>
        </w:rPr>
        <w:t>THE</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val="en-US" w:bidi="el-GR"/>
        </w:rPr>
        <w:t>SUNSET</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val="en-US" w:bidi="el-GR"/>
        </w:rPr>
        <w:t>BOULEVARD</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val="en-US" w:bidi="el-GR"/>
        </w:rPr>
        <w:t>TOURIST</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val="en-US" w:bidi="el-GR"/>
        </w:rPr>
        <w:t>AND ESTATE COMPANY LIMITED (HE</w:t>
      </w:r>
      <w:r w:rsidRPr="00A47311">
        <w:rPr>
          <w:rFonts w:ascii="Bookman Old Style" w:hAnsi="Bookman Old Style"/>
          <w:color w:val="000000"/>
          <w:sz w:val="28"/>
          <w:szCs w:val="28"/>
          <w:lang w:val="en-US" w:bidi="el-GR"/>
        </w:rPr>
        <w:t xml:space="preserve"> 3</w:t>
      </w:r>
      <w:r>
        <w:rPr>
          <w:rFonts w:ascii="Bookman Old Style" w:hAnsi="Bookman Old Style"/>
          <w:color w:val="000000"/>
          <w:sz w:val="28"/>
          <w:szCs w:val="28"/>
          <w:lang w:val="en-US" w:bidi="el-GR"/>
        </w:rPr>
        <w:t>789</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bidi="el-GR"/>
        </w:rPr>
        <w:t>ΕΚ</w:t>
      </w:r>
      <w:r w:rsidRPr="00A47311">
        <w:rPr>
          <w:rFonts w:ascii="Bookman Old Style" w:hAnsi="Bookman Old Style"/>
          <w:color w:val="000000"/>
          <w:sz w:val="28"/>
          <w:szCs w:val="28"/>
          <w:lang w:val="en-US" w:bidi="el-GR"/>
        </w:rPr>
        <w:t xml:space="preserve"> </w:t>
      </w:r>
      <w:r>
        <w:rPr>
          <w:rFonts w:ascii="Bookman Old Style" w:hAnsi="Bookman Old Style"/>
          <w:color w:val="000000"/>
          <w:sz w:val="28"/>
          <w:szCs w:val="28"/>
          <w:lang w:bidi="el-GR"/>
        </w:rPr>
        <w:t>ΠΑΦΟΥ</w:t>
      </w:r>
    </w:p>
    <w:p w14:paraId="6C57C83B"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val="en-US" w:bidi="el-GR"/>
        </w:rPr>
      </w:pPr>
    </w:p>
    <w:p w14:paraId="7EA963FC"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36DB1C2"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2493904" w14:textId="7F1D3582" w:rsidR="003B5797" w:rsidRPr="00900A4F"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ΤΩΝ ΝΕΟΦΥΤΟΥ ΙΩΑΝΝΟΥ (Δ.Τ. </w:t>
      </w:r>
      <w:r w:rsidR="009216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ΕΚ ΠΑΦΟΥ, ΑΝΔΡΕΑ ΙΩΑΝΝΟΥ (Δ.Τ. </w:t>
      </w:r>
      <w:r w:rsidR="009216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ΕΚ ΠΑΦΟΥ, ΑΙΚΑΤΕΡΙΝΗΣ </w:t>
      </w:r>
      <w:r>
        <w:rPr>
          <w:rFonts w:ascii="Bookman Old Style" w:hAnsi="Bookman Old Style"/>
          <w:color w:val="000000"/>
          <w:sz w:val="28"/>
          <w:szCs w:val="28"/>
          <w:lang w:bidi="el-GR"/>
        </w:rPr>
        <w:lastRenderedPageBreak/>
        <w:t xml:space="preserve">ΙΩΑΝΝΟΥ (Δ.Τ. </w:t>
      </w:r>
      <w:r w:rsidR="009216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ΕΚ ΠΑΦΟΥ, ΠΑΝΑΡΕΤΟΥΣ ΤΟΥΛΟΥΠΟΥ ΠΑΠΑΝΕΟΚΛΕΟΥΣ (Δ.Τ. </w:t>
      </w:r>
      <w:r w:rsidR="009216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ΕΚ ΠΑΦΟΥ ΚΑΙ ΜΑΡΙΝΑΣ ΙΩΑΝΝΟΥ (Δ.Τ. </w:t>
      </w:r>
      <w:r w:rsidR="009216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ΕΚ ΠΑΦΟΥ, ΓΙΑ ΧΟΡΗΓΗΣΗ ΑΔΕΙΑΣ ΚΑΤΑΧΩΡΗΣΗΣ ΑΙΤΗΣΗΣ ΓΙΑ ΕΚΔΟΣΗ ΕΝΤΑΛΜΑΤΟΣ </w:t>
      </w:r>
      <w:r>
        <w:rPr>
          <w:rFonts w:ascii="Bookman Old Style" w:hAnsi="Bookman Old Style"/>
          <w:color w:val="000000"/>
          <w:sz w:val="28"/>
          <w:szCs w:val="28"/>
          <w:lang w:val="en-US" w:bidi="el-GR"/>
        </w:rPr>
        <w:t>CERTIORARI</w:t>
      </w:r>
      <w:r>
        <w:rPr>
          <w:rFonts w:ascii="Bookman Old Style" w:hAnsi="Bookman Old Style"/>
          <w:color w:val="000000"/>
          <w:sz w:val="28"/>
          <w:szCs w:val="28"/>
          <w:lang w:bidi="el-GR"/>
        </w:rPr>
        <w:t xml:space="preserve"> ΚΑΙ/Ή ΓΙΑ ΤΗΝ ΕΚΔΟΣΗ ΕΝΤΑΛΜΑΤΟΣ</w:t>
      </w:r>
      <w:r w:rsidRPr="005931B5">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MANDAMUS</w:t>
      </w:r>
    </w:p>
    <w:p w14:paraId="2E1D2A9E" w14:textId="77777777" w:rsidR="003B5797" w:rsidRPr="00900A4F"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2FF8B2E9" w14:textId="77777777" w:rsid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2F4615E"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2448535A"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ΑΠΟΦΑΣΗ ΤΟΥ ΕΠΑΡΧΙΑΚΟΥ ΔΙΚΑΣΤΗΡΙΟΥ ΠΑΦΟΥ ΗΜΕΡ. 22/12/2023 ΣΤΗ ΜΟΝΟΜΕΡΗ (</w:t>
      </w:r>
      <w:r>
        <w:rPr>
          <w:rFonts w:ascii="Bookman Old Style" w:hAnsi="Bookman Old Style"/>
          <w:color w:val="000000"/>
          <w:sz w:val="28"/>
          <w:szCs w:val="28"/>
          <w:lang w:val="en-US" w:bidi="el-GR"/>
        </w:rPr>
        <w:t>EX</w:t>
      </w:r>
      <w:r w:rsidRPr="005931B5">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PARTE</w:t>
      </w:r>
      <w:r>
        <w:rPr>
          <w:rFonts w:ascii="Bookman Old Style" w:hAnsi="Bookman Old Style"/>
          <w:color w:val="000000"/>
          <w:sz w:val="28"/>
          <w:szCs w:val="28"/>
          <w:lang w:bidi="el-GR"/>
        </w:rPr>
        <w:t>) ΑΙΤΗΣΗ ΗΜΕΡΟΜΗΝΙΑΣ 15/12/2023 ΠΟΥ ΚΑΤΑΧΩΡΗΘΗΚΕ ΣΤΟ ΠΛΑΙΣΙΟ ΤΗΣ ΓΕΝΙΚΗΣ ΑΙΤΗΣΗΣ ΑΡ. 64/2023 (</w:t>
      </w:r>
      <w:r>
        <w:rPr>
          <w:rFonts w:ascii="Bookman Old Style" w:hAnsi="Bookman Old Style"/>
          <w:color w:val="000000"/>
          <w:sz w:val="28"/>
          <w:szCs w:val="28"/>
          <w:lang w:val="en-US" w:bidi="el-GR"/>
        </w:rPr>
        <w:t>I</w:t>
      </w:r>
      <w:r w:rsidRPr="005931B5">
        <w:rPr>
          <w:rFonts w:ascii="Bookman Old Style" w:hAnsi="Bookman Old Style"/>
          <w:color w:val="000000"/>
          <w:sz w:val="28"/>
          <w:szCs w:val="28"/>
          <w:lang w:bidi="el-GR"/>
        </w:rPr>
        <w:t>-</w:t>
      </w:r>
      <w:r>
        <w:rPr>
          <w:rFonts w:ascii="Bookman Old Style" w:hAnsi="Bookman Old Style"/>
          <w:color w:val="000000"/>
          <w:sz w:val="28"/>
          <w:szCs w:val="28"/>
          <w:lang w:val="en-US" w:bidi="el-GR"/>
        </w:rPr>
        <w:t>JUSTICE</w:t>
      </w:r>
      <w:r w:rsidRPr="005931B5">
        <w:rPr>
          <w:rFonts w:ascii="Bookman Old Style" w:hAnsi="Bookman Old Style"/>
          <w:color w:val="000000"/>
          <w:sz w:val="28"/>
          <w:szCs w:val="28"/>
          <w:lang w:bidi="el-GR"/>
        </w:rPr>
        <w:t>)</w:t>
      </w:r>
    </w:p>
    <w:p w14:paraId="05B27572"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2A505069" w14:textId="77777777" w:rsidR="003B5797" w:rsidRPr="003B5797" w:rsidRDefault="003B5797" w:rsidP="003B579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val="en-US" w:bidi="el-GR"/>
        </w:rPr>
        <w:t>KAI</w:t>
      </w:r>
    </w:p>
    <w:p w14:paraId="6629963F" w14:textId="77777777" w:rsidR="003B5797" w:rsidRP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p>
    <w:p w14:paraId="6475E160" w14:textId="77777777" w:rsidR="003B5797" w:rsidRDefault="003B5797" w:rsidP="003B579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 ΓΕΝΙΚΗ ΑΙΤΗΣΗ ΑΡ. 64/2023 (</w:t>
      </w:r>
      <w:r>
        <w:rPr>
          <w:rFonts w:ascii="Bookman Old Style" w:hAnsi="Bookman Old Style"/>
          <w:color w:val="000000"/>
          <w:sz w:val="28"/>
          <w:szCs w:val="28"/>
          <w:lang w:val="en-US" w:bidi="el-GR"/>
        </w:rPr>
        <w:t>I</w:t>
      </w:r>
      <w:r w:rsidRPr="005931B5">
        <w:rPr>
          <w:rFonts w:ascii="Bookman Old Style" w:hAnsi="Bookman Old Style"/>
          <w:color w:val="000000"/>
          <w:sz w:val="28"/>
          <w:szCs w:val="28"/>
          <w:lang w:bidi="el-GR"/>
        </w:rPr>
        <w:t>-</w:t>
      </w:r>
      <w:r>
        <w:rPr>
          <w:rFonts w:ascii="Bookman Old Style" w:hAnsi="Bookman Old Style"/>
          <w:color w:val="000000"/>
          <w:sz w:val="28"/>
          <w:szCs w:val="28"/>
          <w:lang w:val="en-US" w:bidi="el-GR"/>
        </w:rPr>
        <w:t>JUSTICE</w:t>
      </w:r>
      <w:r w:rsidRPr="005931B5">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ΕΠΑΡΧΙΑΚΟΥ ΔΙΚΑΣΤΗΡΙΟΥ ΠΑΦΟΥ</w:t>
      </w:r>
    </w:p>
    <w:p w14:paraId="6EC51D28" w14:textId="251A6FD0" w:rsidR="00214047" w:rsidRPr="00214047" w:rsidRDefault="00214047" w:rsidP="0000790C">
      <w:pPr>
        <w:ind w:right="-35"/>
        <w:rPr>
          <w:rFonts w:ascii="Bookman Old Style" w:hAnsi="Bookman Old Style" w:cs="Arial"/>
          <w:b/>
          <w:sz w:val="28"/>
          <w:szCs w:val="28"/>
          <w:u w:val="double"/>
          <w:lang w:val="el-GR"/>
        </w:rPr>
      </w:pPr>
      <w:r>
        <w:rPr>
          <w:rFonts w:ascii="Bookman Old Style" w:hAnsi="Bookman Old Style" w:cs="Arial"/>
          <w:b/>
          <w:sz w:val="28"/>
          <w:szCs w:val="28"/>
          <w:u w:val="double"/>
          <w:lang w:val="el-GR"/>
        </w:rPr>
        <w:t>_____________________________________________________________________</w:t>
      </w:r>
    </w:p>
    <w:p w14:paraId="781689E6" w14:textId="77777777" w:rsidR="00214047" w:rsidRDefault="005B2486" w:rsidP="0000790C">
      <w:pPr>
        <w:ind w:left="397" w:right="-35" w:hanging="113"/>
        <w:jc w:val="both"/>
        <w:rPr>
          <w:rFonts w:ascii="Bookman Old Style" w:hAnsi="Bookman Old Style" w:cs="Arial"/>
          <w:i/>
          <w:iCs/>
          <w:sz w:val="28"/>
          <w:szCs w:val="28"/>
          <w:lang w:val="el-GR"/>
        </w:rPr>
      </w:pPr>
      <w:r>
        <w:rPr>
          <w:rFonts w:ascii="Bookman Old Style" w:hAnsi="Bookman Old Style" w:cs="Arial"/>
          <w:i/>
          <w:iCs/>
          <w:sz w:val="28"/>
          <w:szCs w:val="28"/>
          <w:lang w:val="el-GR"/>
        </w:rPr>
        <w:t xml:space="preserve">     </w:t>
      </w:r>
    </w:p>
    <w:p w14:paraId="225E3645" w14:textId="51FAAC8B" w:rsidR="004C29CA" w:rsidRDefault="006809BA" w:rsidP="0000790C">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Αλ. Αλεξάνδρου με Α. Κασιανής και Μ. Βασιλείου (κα)</w:t>
      </w:r>
      <w:r w:rsidR="004C29CA" w:rsidRPr="007A0D8E">
        <w:rPr>
          <w:rFonts w:ascii="Bookman Old Style" w:hAnsi="Bookman Old Style" w:cs="Arial"/>
          <w:i/>
          <w:iCs/>
          <w:sz w:val="28"/>
          <w:szCs w:val="28"/>
          <w:lang w:val="el-GR"/>
        </w:rPr>
        <w:t>,</w:t>
      </w:r>
      <w:r w:rsidR="005B2486">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5B2486">
        <w:rPr>
          <w:rFonts w:ascii="Bookman Old Style" w:hAnsi="Bookman Old Style" w:cs="Arial"/>
          <w:iCs/>
          <w:sz w:val="28"/>
          <w:szCs w:val="28"/>
          <w:lang w:val="el-GR"/>
        </w:rPr>
        <w:t>υς</w:t>
      </w:r>
      <w:r w:rsidR="004C29CA" w:rsidRPr="007A0D8E">
        <w:rPr>
          <w:rFonts w:ascii="Bookman Old Style" w:hAnsi="Bookman Old Style" w:cs="Arial"/>
          <w:iCs/>
          <w:sz w:val="28"/>
          <w:szCs w:val="28"/>
          <w:lang w:val="el-GR"/>
        </w:rPr>
        <w:t xml:space="preserve"> Αιτητ</w:t>
      </w:r>
      <w:r w:rsidR="005B2486">
        <w:rPr>
          <w:rFonts w:ascii="Bookman Old Style" w:hAnsi="Bookman Old Style" w:cs="Arial"/>
          <w:iCs/>
          <w:sz w:val="28"/>
          <w:szCs w:val="28"/>
          <w:lang w:val="el-GR"/>
        </w:rPr>
        <w:t>ές</w:t>
      </w:r>
      <w:r w:rsidR="004C29CA" w:rsidRPr="007A0D8E">
        <w:rPr>
          <w:rFonts w:ascii="Bookman Old Style" w:hAnsi="Bookman Old Style" w:cs="Arial"/>
          <w:iCs/>
          <w:sz w:val="28"/>
          <w:szCs w:val="28"/>
          <w:lang w:val="el-GR"/>
        </w:rPr>
        <w:t>.</w:t>
      </w:r>
    </w:p>
    <w:p w14:paraId="77ACEBC8" w14:textId="77777777" w:rsidR="00D4767C" w:rsidRDefault="00D4767C" w:rsidP="0000790C">
      <w:pPr>
        <w:ind w:left="397" w:right="-35" w:hanging="113"/>
        <w:jc w:val="both"/>
        <w:rPr>
          <w:rFonts w:ascii="Bookman Old Style" w:hAnsi="Bookman Old Style" w:cs="Arial"/>
          <w:iCs/>
          <w:sz w:val="28"/>
          <w:szCs w:val="28"/>
          <w:lang w:val="el-GR"/>
        </w:rPr>
      </w:pPr>
    </w:p>
    <w:p w14:paraId="6E44B864" w14:textId="5A10F787" w:rsidR="00AC2FD6" w:rsidRDefault="00AC2FD6" w:rsidP="0000790C">
      <w:pPr>
        <w:ind w:left="397" w:right="-35" w:hanging="113"/>
        <w:jc w:val="both"/>
        <w:rPr>
          <w:rFonts w:ascii="Bookman Old Style" w:hAnsi="Bookman Old Style" w:cs="Arial"/>
          <w:b/>
          <w:bCs/>
          <w:iCs/>
          <w:sz w:val="28"/>
          <w:szCs w:val="28"/>
          <w:u w:val="double"/>
          <w:lang w:val="el-GR"/>
        </w:rPr>
      </w:pPr>
      <w:r>
        <w:rPr>
          <w:rFonts w:ascii="Bookman Old Style" w:hAnsi="Bookman Old Style" w:cs="Arial"/>
          <w:b/>
          <w:bCs/>
          <w:iCs/>
          <w:sz w:val="28"/>
          <w:szCs w:val="28"/>
          <w:u w:val="double"/>
          <w:lang w:val="el-GR"/>
        </w:rPr>
        <w:t>___________________________________________________________________</w:t>
      </w:r>
    </w:p>
    <w:p w14:paraId="6A2A90FB" w14:textId="77777777" w:rsidR="00AC2FD6" w:rsidRPr="00AC2FD6" w:rsidRDefault="00AC2FD6" w:rsidP="0000790C">
      <w:pPr>
        <w:ind w:left="397" w:right="-35" w:hanging="113"/>
        <w:jc w:val="both"/>
        <w:rPr>
          <w:rFonts w:ascii="Bookman Old Style" w:hAnsi="Bookman Old Style" w:cs="Arial"/>
          <w:b/>
          <w:bCs/>
          <w:iCs/>
          <w:sz w:val="28"/>
          <w:szCs w:val="28"/>
          <w:u w:val="double"/>
          <w:lang w:val="el-GR"/>
        </w:rPr>
      </w:pPr>
    </w:p>
    <w:p w14:paraId="5080FDCF" w14:textId="47CCCCF6"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27B7B026" w:rsidR="004C29CA" w:rsidRPr="006809BA" w:rsidRDefault="006809BA" w:rsidP="006809BA">
      <w:pPr>
        <w:tabs>
          <w:tab w:val="left" w:pos="624"/>
        </w:tabs>
        <w:ind w:left="681" w:right="-35" w:hanging="397"/>
        <w:jc w:val="center"/>
        <w:rPr>
          <w:rFonts w:ascii="Bookman Old Style" w:hAnsi="Bookman Old Style" w:cs="Arial"/>
          <w:b/>
          <w:bCs/>
          <w:sz w:val="28"/>
          <w:szCs w:val="28"/>
          <w:lang w:val="el-GR"/>
        </w:rPr>
      </w:pPr>
      <w:r w:rsidRPr="006809BA">
        <w:rPr>
          <w:rFonts w:ascii="Bookman Old Style" w:hAnsi="Bookman Old Style" w:cs="Arial"/>
          <w:b/>
          <w:bCs/>
          <w:sz w:val="28"/>
          <w:szCs w:val="28"/>
          <w:lang w:val="el-GR"/>
        </w:rPr>
        <w:t>(Δοθείσα Αυθημερόν)</w:t>
      </w:r>
    </w:p>
    <w:p w14:paraId="48DEF1F7" w14:textId="77777777" w:rsidR="006809BA" w:rsidRDefault="006809BA" w:rsidP="006809BA">
      <w:pPr>
        <w:tabs>
          <w:tab w:val="left" w:pos="624"/>
        </w:tabs>
        <w:ind w:left="681" w:right="-35" w:hanging="397"/>
        <w:jc w:val="center"/>
        <w:rPr>
          <w:rFonts w:ascii="Bookman Old Style" w:hAnsi="Bookman Old Style" w:cs="Arial"/>
          <w:sz w:val="28"/>
          <w:szCs w:val="28"/>
          <w:lang w:val="el-GR"/>
        </w:rPr>
      </w:pPr>
    </w:p>
    <w:p w14:paraId="00D2770B" w14:textId="77777777" w:rsidR="006809BA" w:rsidRPr="006809BA" w:rsidRDefault="006809BA" w:rsidP="006809BA">
      <w:pPr>
        <w:tabs>
          <w:tab w:val="left" w:pos="624"/>
        </w:tabs>
        <w:ind w:left="681" w:right="-35" w:hanging="397"/>
        <w:jc w:val="center"/>
        <w:rPr>
          <w:rFonts w:ascii="Bookman Old Style" w:hAnsi="Bookman Old Style" w:cs="Arial"/>
          <w:sz w:val="28"/>
          <w:szCs w:val="28"/>
          <w:lang w:val="el-GR"/>
        </w:rPr>
      </w:pPr>
    </w:p>
    <w:p w14:paraId="4D5538E2" w14:textId="24443943" w:rsidR="005768FF" w:rsidRDefault="003E48DF"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7C03D1">
        <w:rPr>
          <w:rFonts w:ascii="Bookman Old Style" w:hAnsi="Bookman Old Style" w:cs="Arial"/>
          <w:sz w:val="28"/>
          <w:szCs w:val="28"/>
          <w:lang w:val="el-GR"/>
        </w:rPr>
        <w:t>Με την παρούσα Αίτηση οι Αιτητές ζητούν άδεια του Δικαστηρίου για καταχώριση Αίτησης για την έκδοση Προνομιακού Εντάλματος</w:t>
      </w:r>
      <w:r w:rsidR="007C03D1" w:rsidRPr="007C03D1">
        <w:rPr>
          <w:rFonts w:ascii="Bookman Old Style" w:hAnsi="Bookman Old Style" w:cs="Arial"/>
          <w:sz w:val="28"/>
          <w:szCs w:val="28"/>
          <w:lang w:val="el-GR"/>
        </w:rPr>
        <w:t xml:space="preserve"> </w:t>
      </w:r>
      <w:r w:rsidR="007C03D1">
        <w:rPr>
          <w:rFonts w:ascii="Bookman Old Style" w:hAnsi="Bookman Old Style" w:cs="Arial"/>
          <w:i/>
          <w:iCs/>
          <w:sz w:val="28"/>
          <w:szCs w:val="28"/>
          <w:lang w:val="en-US"/>
        </w:rPr>
        <w:t>Certiorari</w:t>
      </w:r>
      <w:r w:rsidR="007C03D1">
        <w:rPr>
          <w:rFonts w:ascii="Bookman Old Style" w:hAnsi="Bookman Old Style" w:cs="Arial"/>
          <w:i/>
          <w:iCs/>
          <w:sz w:val="28"/>
          <w:szCs w:val="28"/>
          <w:lang w:val="el-GR"/>
        </w:rPr>
        <w:t xml:space="preserve"> </w:t>
      </w:r>
      <w:r w:rsidR="007C03D1">
        <w:rPr>
          <w:rFonts w:ascii="Bookman Old Style" w:hAnsi="Bookman Old Style" w:cs="Arial"/>
          <w:sz w:val="28"/>
          <w:szCs w:val="28"/>
          <w:lang w:val="el-GR"/>
        </w:rPr>
        <w:t xml:space="preserve">και/ή </w:t>
      </w:r>
      <w:r w:rsidR="007C03D1">
        <w:rPr>
          <w:rFonts w:ascii="Bookman Old Style" w:hAnsi="Bookman Old Style" w:cs="Arial"/>
          <w:i/>
          <w:iCs/>
          <w:sz w:val="28"/>
          <w:szCs w:val="28"/>
          <w:lang w:val="en-US"/>
        </w:rPr>
        <w:t>Mandamus</w:t>
      </w:r>
      <w:r w:rsidR="007C03D1">
        <w:rPr>
          <w:rFonts w:ascii="Bookman Old Style" w:hAnsi="Bookman Old Style" w:cs="Arial"/>
          <w:sz w:val="28"/>
          <w:szCs w:val="28"/>
          <w:lang w:val="el-GR"/>
        </w:rPr>
        <w:t xml:space="preserve"> για παραπομπή στο Ανώτατο Δικαστήριο του φακέλου της Γενικής Αίτησης υπ’ αρ. 64/2023 του Επαρχιακού Δικαστηρίου Πάφου, με σκοπό την ακύρωση της Απόφασης που εκδόθηκε από το Επαρχιακό Δικαστήριο Πάφου (εφεξής Κατώτερο Δικαστήριο), ημερ. 22/12/2023, με την οποία απερρίφθη η μονομερής (</w:t>
      </w:r>
      <w:r w:rsidR="007C03D1">
        <w:rPr>
          <w:rFonts w:ascii="Bookman Old Style" w:hAnsi="Bookman Old Style" w:cs="Arial"/>
          <w:sz w:val="28"/>
          <w:szCs w:val="28"/>
          <w:lang w:val="en-US"/>
        </w:rPr>
        <w:t>ex</w:t>
      </w:r>
      <w:r w:rsidR="007C03D1" w:rsidRPr="007C03D1">
        <w:rPr>
          <w:rFonts w:ascii="Bookman Old Style" w:hAnsi="Bookman Old Style" w:cs="Arial"/>
          <w:sz w:val="28"/>
          <w:szCs w:val="28"/>
          <w:lang w:val="el-GR"/>
        </w:rPr>
        <w:t>-</w:t>
      </w:r>
      <w:r w:rsidR="007C03D1">
        <w:rPr>
          <w:rFonts w:ascii="Bookman Old Style" w:hAnsi="Bookman Old Style" w:cs="Arial"/>
          <w:sz w:val="28"/>
          <w:szCs w:val="28"/>
          <w:lang w:val="en-US"/>
        </w:rPr>
        <w:t>parte</w:t>
      </w:r>
      <w:r w:rsidR="007C03D1">
        <w:rPr>
          <w:rFonts w:ascii="Bookman Old Style" w:hAnsi="Bookman Old Style" w:cs="Arial"/>
          <w:sz w:val="28"/>
          <w:szCs w:val="28"/>
          <w:lang w:val="el-GR"/>
        </w:rPr>
        <w:t>) αίτηση, ημερ. 15/12/2023 και η οποία καταχωρήθηκε στο πλαίσιο της ως άνω Γενικής Αίτησης και/ή προς αντικατάσταση της με το πιο κάτω Διάταγμα, το οποίο ζητείτο με την εν λόγω μονομερή αίτηση:</w:t>
      </w:r>
    </w:p>
    <w:p w14:paraId="63F71082" w14:textId="77777777" w:rsidR="0003697E" w:rsidRDefault="0003697E" w:rsidP="0000790C">
      <w:pPr>
        <w:spacing w:line="480" w:lineRule="auto"/>
        <w:ind w:right="-35"/>
        <w:jc w:val="both"/>
        <w:rPr>
          <w:rFonts w:ascii="Bookman Old Style" w:hAnsi="Bookman Old Style" w:cs="Arial"/>
          <w:sz w:val="28"/>
          <w:szCs w:val="28"/>
          <w:lang w:val="el-GR"/>
        </w:rPr>
      </w:pPr>
    </w:p>
    <w:p w14:paraId="73B594CF" w14:textId="681216D5" w:rsidR="0003697E" w:rsidRPr="0003697E" w:rsidRDefault="0003697E" w:rsidP="00144069">
      <w:pPr>
        <w:spacing w:line="276" w:lineRule="auto"/>
        <w:ind w:left="426" w:right="390"/>
        <w:jc w:val="both"/>
        <w:rPr>
          <w:rFonts w:ascii="Bookman Old Style" w:hAnsi="Bookman Old Style" w:cs="Arial"/>
          <w:sz w:val="26"/>
          <w:szCs w:val="26"/>
          <w:lang w:val="el-GR"/>
        </w:rPr>
      </w:pPr>
      <w:r>
        <w:rPr>
          <w:rFonts w:ascii="Bookman Old Style" w:hAnsi="Bookman Old Style" w:cs="Arial"/>
          <w:sz w:val="26"/>
          <w:szCs w:val="26"/>
          <w:lang w:val="el-GR"/>
        </w:rPr>
        <w:t xml:space="preserve">«(Α) Απαγορευτικό Διάταγμα του Δικαστηρίου που να διατάσσει τον Αντώνη Βασιλείου </w:t>
      </w:r>
      <w:r w:rsidRPr="0003697E">
        <w:rPr>
          <w:rFonts w:ascii="Bookman Old Style" w:hAnsi="Bookman Old Style" w:cs="Arial"/>
          <w:sz w:val="26"/>
          <w:szCs w:val="26"/>
          <w:lang w:val="el-GR"/>
        </w:rPr>
        <w:t xml:space="preserve">και/ή τους υπαλλήλους του και/ή τους αντιπροσώπους του και/ή τους συνεργάτες του και/ή εντολοδόχο του και/ή οποιοδήποτε τρίτο πρόσωπο που ενεργεί δια λογαριασμό του όπως παύσει να επεμβαίνει με οποιοδήποτε τρόπο σε οποιαδήποτε περιουσία των Εταιρειών </w:t>
      </w:r>
      <w:r w:rsidRPr="0003697E">
        <w:rPr>
          <w:rFonts w:ascii="Bookman Old Style" w:hAnsi="Bookman Old Style" w:cs="Arial"/>
          <w:sz w:val="26"/>
          <w:szCs w:val="26"/>
          <w:lang w:val="en-US"/>
        </w:rPr>
        <w:t>ALPHA</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PANARETI</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PUBLIC</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LTD</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H</w:t>
      </w:r>
      <w:r w:rsidRPr="0003697E">
        <w:rPr>
          <w:rFonts w:ascii="Bookman Old Style" w:hAnsi="Bookman Old Style" w:cs="Arial"/>
          <w:sz w:val="26"/>
          <w:szCs w:val="26"/>
          <w:lang w:val="el-GR"/>
        </w:rPr>
        <w:t>.</w:t>
      </w:r>
      <w:r w:rsidRPr="0003697E">
        <w:rPr>
          <w:rFonts w:ascii="Bookman Old Style" w:hAnsi="Bookman Old Style" w:cs="Arial"/>
          <w:sz w:val="26"/>
          <w:szCs w:val="26"/>
          <w:lang w:val="en-US"/>
        </w:rPr>
        <w:t>E</w:t>
      </w:r>
      <w:r w:rsidRPr="0003697E">
        <w:rPr>
          <w:rFonts w:ascii="Bookman Old Style" w:hAnsi="Bookman Old Style" w:cs="Arial"/>
          <w:sz w:val="26"/>
          <w:szCs w:val="26"/>
          <w:lang w:val="el-GR"/>
        </w:rPr>
        <w:t xml:space="preserve">. 34103) και </w:t>
      </w:r>
      <w:r w:rsidRPr="0003697E">
        <w:rPr>
          <w:rFonts w:ascii="Bookman Old Style" w:hAnsi="Bookman Old Style" w:cs="Arial"/>
          <w:sz w:val="26"/>
          <w:szCs w:val="26"/>
          <w:lang w:val="en-US"/>
        </w:rPr>
        <w:t>THE</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SUNSET</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BOULEVARD</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TOURIST</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AND</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ESTATE</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COMPANY</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LIMITED</w:t>
      </w:r>
      <w:r w:rsidRPr="0003697E">
        <w:rPr>
          <w:rFonts w:ascii="Bookman Old Style" w:hAnsi="Bookman Old Style" w:cs="Arial"/>
          <w:sz w:val="26"/>
          <w:szCs w:val="26"/>
          <w:lang w:val="el-GR"/>
        </w:rPr>
        <w:t xml:space="preserve"> (</w:t>
      </w:r>
      <w:r w:rsidRPr="0003697E">
        <w:rPr>
          <w:rFonts w:ascii="Bookman Old Style" w:hAnsi="Bookman Old Style" w:cs="Arial"/>
          <w:sz w:val="26"/>
          <w:szCs w:val="26"/>
          <w:lang w:val="en-US"/>
        </w:rPr>
        <w:t>H</w:t>
      </w:r>
      <w:r w:rsidRPr="0003697E">
        <w:rPr>
          <w:rFonts w:ascii="Bookman Old Style" w:hAnsi="Bookman Old Style" w:cs="Arial"/>
          <w:sz w:val="26"/>
          <w:szCs w:val="26"/>
          <w:lang w:val="el-GR"/>
        </w:rPr>
        <w:t>.</w:t>
      </w:r>
      <w:r w:rsidRPr="0003697E">
        <w:rPr>
          <w:rFonts w:ascii="Bookman Old Style" w:hAnsi="Bookman Old Style" w:cs="Arial"/>
          <w:sz w:val="26"/>
          <w:szCs w:val="26"/>
          <w:lang w:val="en-US"/>
        </w:rPr>
        <w:t>E</w:t>
      </w:r>
      <w:r w:rsidRPr="0003697E">
        <w:rPr>
          <w:rFonts w:ascii="Bookman Old Style" w:hAnsi="Bookman Old Style" w:cs="Arial"/>
          <w:sz w:val="26"/>
          <w:szCs w:val="26"/>
          <w:lang w:val="el-GR"/>
        </w:rPr>
        <w:t xml:space="preserve">. 3789) και/ή της επιχειρηματικής δραστηριότητας τους και/ή να παρακωλύει την εύρυθμη λειτουργία των Εταιρειών και/ή της επιχειρηματικής δραστηριότητας τους μέχρι εκδίκασης </w:t>
      </w:r>
      <w:r w:rsidR="00A7314E">
        <w:rPr>
          <w:rFonts w:ascii="Bookman Old Style" w:hAnsi="Bookman Old Style" w:cs="Arial"/>
          <w:sz w:val="26"/>
          <w:szCs w:val="26"/>
          <w:lang w:val="el-GR"/>
        </w:rPr>
        <w:t>της υπό τον ως άνω αριθμό και τίτλο</w:t>
      </w:r>
      <w:r w:rsidRPr="0003697E">
        <w:rPr>
          <w:rFonts w:ascii="Bookman Old Style" w:hAnsi="Bookman Old Style" w:cs="Arial"/>
          <w:sz w:val="26"/>
          <w:szCs w:val="26"/>
          <w:lang w:val="el-GR"/>
        </w:rPr>
        <w:t xml:space="preserve"> </w:t>
      </w:r>
      <w:r w:rsidR="00A7314E">
        <w:rPr>
          <w:rFonts w:ascii="Bookman Old Style" w:hAnsi="Bookman Old Style" w:cs="Arial"/>
          <w:sz w:val="26"/>
          <w:szCs w:val="26"/>
          <w:lang w:val="el-GR"/>
        </w:rPr>
        <w:t xml:space="preserve">Γενικής </w:t>
      </w:r>
      <w:r w:rsidRPr="0003697E">
        <w:rPr>
          <w:rFonts w:ascii="Bookman Old Style" w:hAnsi="Bookman Old Style" w:cs="Arial"/>
          <w:sz w:val="26"/>
          <w:szCs w:val="26"/>
          <w:lang w:val="el-GR"/>
        </w:rPr>
        <w:t>Αίτησης</w:t>
      </w:r>
      <w:r w:rsidR="00A7314E">
        <w:rPr>
          <w:rFonts w:ascii="Bookman Old Style" w:hAnsi="Bookman Old Style" w:cs="Arial"/>
          <w:sz w:val="26"/>
          <w:szCs w:val="26"/>
          <w:lang w:val="el-GR"/>
        </w:rPr>
        <w:t xml:space="preserve"> </w:t>
      </w:r>
      <w:r w:rsidRPr="0003697E">
        <w:rPr>
          <w:rFonts w:ascii="Bookman Old Style" w:hAnsi="Bookman Old Style" w:cs="Arial"/>
          <w:sz w:val="26"/>
          <w:szCs w:val="26"/>
          <w:lang w:val="el-GR"/>
        </w:rPr>
        <w:t>και/ή μέχρι νεωτέρας διαταγής του Δικαστηρίου</w:t>
      </w:r>
      <w:r w:rsidR="00D4767C">
        <w:rPr>
          <w:rFonts w:ascii="Bookman Old Style" w:hAnsi="Bookman Old Style" w:cs="Arial"/>
          <w:sz w:val="26"/>
          <w:szCs w:val="26"/>
          <w:lang w:val="el-GR"/>
        </w:rPr>
        <w:t>.</w:t>
      </w:r>
      <w:r w:rsidRPr="0003697E">
        <w:rPr>
          <w:rFonts w:ascii="Bookman Old Style" w:hAnsi="Bookman Old Style" w:cs="Arial"/>
          <w:sz w:val="26"/>
          <w:szCs w:val="26"/>
          <w:lang w:val="el-GR"/>
        </w:rPr>
        <w:t>»</w:t>
      </w:r>
    </w:p>
    <w:p w14:paraId="7AFEFB52" w14:textId="52566733" w:rsidR="00507CB1" w:rsidRDefault="0003697E" w:rsidP="00144069">
      <w:pPr>
        <w:spacing w:line="276" w:lineRule="auto"/>
        <w:ind w:right="-35"/>
        <w:jc w:val="both"/>
        <w:rPr>
          <w:rFonts w:ascii="Bookman Old Style" w:hAnsi="Bookman Old Style" w:cs="Arial"/>
          <w:sz w:val="28"/>
          <w:szCs w:val="28"/>
          <w:lang w:val="el-GR"/>
        </w:rPr>
      </w:pPr>
      <w:r w:rsidRPr="0003697E">
        <w:rPr>
          <w:rFonts w:ascii="Bookman Old Style" w:hAnsi="Bookman Old Style" w:cs="Arial"/>
          <w:sz w:val="26"/>
          <w:szCs w:val="26"/>
          <w:lang w:val="el-GR"/>
        </w:rPr>
        <w:t xml:space="preserve"> </w:t>
      </w:r>
    </w:p>
    <w:p w14:paraId="49982728" w14:textId="77777777" w:rsidR="00507CB1" w:rsidRDefault="00507CB1" w:rsidP="0000790C">
      <w:pPr>
        <w:spacing w:line="480" w:lineRule="auto"/>
        <w:ind w:right="-35"/>
        <w:jc w:val="both"/>
        <w:rPr>
          <w:rFonts w:ascii="Bookman Old Style" w:hAnsi="Bookman Old Style" w:cs="Arial"/>
          <w:sz w:val="28"/>
          <w:szCs w:val="28"/>
          <w:lang w:val="el-GR"/>
        </w:rPr>
      </w:pPr>
    </w:p>
    <w:p w14:paraId="7FD90659" w14:textId="44C970D4" w:rsidR="00E416C2" w:rsidRDefault="00507CB1"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w:t>
      </w:r>
      <w:r w:rsidR="00CE7959">
        <w:rPr>
          <w:rFonts w:ascii="Bookman Old Style" w:hAnsi="Bookman Old Style" w:cs="Arial"/>
          <w:sz w:val="28"/>
          <w:szCs w:val="28"/>
          <w:lang w:val="el-GR"/>
        </w:rPr>
        <w:t>ι</w:t>
      </w:r>
      <w:r>
        <w:rPr>
          <w:rFonts w:ascii="Bookman Old Style" w:hAnsi="Bookman Old Style" w:cs="Arial"/>
          <w:sz w:val="28"/>
          <w:szCs w:val="28"/>
          <w:lang w:val="el-GR"/>
        </w:rPr>
        <w:t xml:space="preserve">αζευκτικά του παρακλητικού επιδιώκεται η έκδοση Διατάγματος </w:t>
      </w:r>
      <w:r w:rsidRPr="00D4767C">
        <w:rPr>
          <w:rFonts w:ascii="Bookman Old Style" w:hAnsi="Bookman Old Style" w:cs="Arial"/>
          <w:i/>
          <w:iCs/>
          <w:sz w:val="28"/>
          <w:szCs w:val="28"/>
          <w:lang w:val="en-US"/>
        </w:rPr>
        <w:t>Mandamus</w:t>
      </w:r>
      <w:r>
        <w:rPr>
          <w:rFonts w:ascii="Bookman Old Style" w:hAnsi="Bookman Old Style" w:cs="Arial"/>
          <w:sz w:val="28"/>
          <w:szCs w:val="28"/>
          <w:lang w:val="el-GR"/>
        </w:rPr>
        <w:t xml:space="preserve"> </w:t>
      </w:r>
      <w:r w:rsidR="00E416C2">
        <w:rPr>
          <w:rFonts w:ascii="Bookman Old Style" w:hAnsi="Bookman Old Style" w:cs="Arial"/>
          <w:sz w:val="28"/>
          <w:szCs w:val="28"/>
          <w:lang w:val="el-GR"/>
        </w:rPr>
        <w:t>«</w:t>
      </w:r>
      <w:r w:rsidRPr="00E416C2">
        <w:rPr>
          <w:rFonts w:ascii="Bookman Old Style" w:hAnsi="Bookman Old Style" w:cs="Arial"/>
          <w:i/>
          <w:iCs/>
          <w:sz w:val="28"/>
          <w:szCs w:val="28"/>
          <w:lang w:val="el-GR"/>
        </w:rPr>
        <w:t>που να διατάσσει τον Αντώνη Βασιλείου και/ή τους υπαλλήλους του και/ή τους αντιπροσώπους του και/ή τους συνεργάτες του και/ή εντολοδόχο του</w:t>
      </w:r>
      <w:r w:rsidR="00E416C2">
        <w:rPr>
          <w:rFonts w:ascii="Bookman Old Style" w:hAnsi="Bookman Old Style" w:cs="Arial"/>
          <w:i/>
          <w:iCs/>
          <w:sz w:val="28"/>
          <w:szCs w:val="28"/>
          <w:lang w:val="el-GR"/>
        </w:rPr>
        <w:t xml:space="preserve"> και/ή οποιοδήποτε τρίτο πρόσωπο που ενεργεί δια λογαριασμό του όπως παύσει να επεμβαίνει με οποιοδήποτε τρόπο σε οποιαδήποτε περιουσία των Εταιρειών</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ALPHA</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PANARETI</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PUBLIC</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LTD</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H</w:t>
      </w:r>
      <w:r w:rsidR="00E416C2" w:rsidRPr="00E416C2">
        <w:rPr>
          <w:rFonts w:ascii="Bookman Old Style" w:hAnsi="Bookman Old Style" w:cs="Arial"/>
          <w:i/>
          <w:iCs/>
          <w:sz w:val="28"/>
          <w:szCs w:val="28"/>
          <w:lang w:val="el-GR"/>
        </w:rPr>
        <w:t>.</w:t>
      </w:r>
      <w:r w:rsidR="00E416C2">
        <w:rPr>
          <w:rFonts w:ascii="Bookman Old Style" w:hAnsi="Bookman Old Style" w:cs="Arial"/>
          <w:i/>
          <w:iCs/>
          <w:sz w:val="28"/>
          <w:szCs w:val="28"/>
          <w:lang w:val="en-US"/>
        </w:rPr>
        <w:t>E</w:t>
      </w:r>
      <w:r w:rsidR="00E416C2" w:rsidRPr="00E416C2">
        <w:rPr>
          <w:rFonts w:ascii="Bookman Old Style" w:hAnsi="Bookman Old Style" w:cs="Arial"/>
          <w:i/>
          <w:iCs/>
          <w:sz w:val="28"/>
          <w:szCs w:val="28"/>
          <w:lang w:val="el-GR"/>
        </w:rPr>
        <w:t>. 34103</w:t>
      </w:r>
      <w:r w:rsidR="00E416C2">
        <w:rPr>
          <w:rFonts w:ascii="Bookman Old Style" w:hAnsi="Bookman Old Style" w:cs="Arial"/>
          <w:i/>
          <w:iCs/>
          <w:sz w:val="28"/>
          <w:szCs w:val="28"/>
          <w:lang w:val="el-GR"/>
        </w:rPr>
        <w:t xml:space="preserve">) και </w:t>
      </w:r>
      <w:r w:rsidR="00E416C2">
        <w:rPr>
          <w:rFonts w:ascii="Bookman Old Style" w:hAnsi="Bookman Old Style" w:cs="Arial"/>
          <w:i/>
          <w:iCs/>
          <w:sz w:val="28"/>
          <w:szCs w:val="28"/>
          <w:lang w:val="en-US"/>
        </w:rPr>
        <w:t>THE</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SUNSET</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BOULEVARD</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TOURIST</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AND</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ESTATE</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COMPANY</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LIMITED</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H</w:t>
      </w:r>
      <w:r w:rsidR="00E416C2" w:rsidRPr="00E416C2">
        <w:rPr>
          <w:rFonts w:ascii="Bookman Old Style" w:hAnsi="Bookman Old Style" w:cs="Arial"/>
          <w:i/>
          <w:iCs/>
          <w:sz w:val="28"/>
          <w:szCs w:val="28"/>
          <w:lang w:val="el-GR"/>
        </w:rPr>
        <w:t>.</w:t>
      </w:r>
      <w:r w:rsidR="00E416C2">
        <w:rPr>
          <w:rFonts w:ascii="Bookman Old Style" w:hAnsi="Bookman Old Style" w:cs="Arial"/>
          <w:i/>
          <w:iCs/>
          <w:sz w:val="28"/>
          <w:szCs w:val="28"/>
          <w:lang w:val="en-US"/>
        </w:rPr>
        <w:t>E</w:t>
      </w:r>
      <w:r w:rsidR="00E416C2" w:rsidRPr="00E416C2">
        <w:rPr>
          <w:rFonts w:ascii="Bookman Old Style" w:hAnsi="Bookman Old Style" w:cs="Arial"/>
          <w:i/>
          <w:iCs/>
          <w:sz w:val="28"/>
          <w:szCs w:val="28"/>
          <w:lang w:val="el-GR"/>
        </w:rPr>
        <w:t>.</w:t>
      </w:r>
      <w:r w:rsidR="00E416C2">
        <w:rPr>
          <w:rFonts w:ascii="Bookman Old Style" w:hAnsi="Bookman Old Style" w:cs="Arial"/>
          <w:i/>
          <w:iCs/>
          <w:sz w:val="28"/>
          <w:szCs w:val="28"/>
          <w:lang w:val="el-GR"/>
        </w:rPr>
        <w:t xml:space="preserve"> 3789) και/ή της επιχειρηματικής δραστηριότητας τους και/ή να παρακωλύει την εύρυθμη λειτουργία των Εταιρειών και/ή της επιχειρηματικής δραστηριότητας τους μέχρι εκδίκασης της Κυρίως Αίτησης Δια Κλήσεως για την έκδοση εντάλματος</w:t>
      </w:r>
      <w:r w:rsidR="00E416C2" w:rsidRPr="00E416C2">
        <w:rPr>
          <w:rFonts w:ascii="Bookman Old Style" w:hAnsi="Bookman Old Style" w:cs="Arial"/>
          <w:i/>
          <w:iCs/>
          <w:sz w:val="28"/>
          <w:szCs w:val="28"/>
          <w:lang w:val="el-GR"/>
        </w:rPr>
        <w:t xml:space="preserve"> </w:t>
      </w:r>
      <w:r w:rsidR="00E416C2">
        <w:rPr>
          <w:rFonts w:ascii="Bookman Old Style" w:hAnsi="Bookman Old Style" w:cs="Arial"/>
          <w:i/>
          <w:iCs/>
          <w:sz w:val="28"/>
          <w:szCs w:val="28"/>
          <w:lang w:val="en-US"/>
        </w:rPr>
        <w:t>Certiorari</w:t>
      </w:r>
      <w:r w:rsidR="00E416C2">
        <w:rPr>
          <w:rFonts w:ascii="Bookman Old Style" w:hAnsi="Bookman Old Style" w:cs="Arial"/>
          <w:i/>
          <w:iCs/>
          <w:sz w:val="28"/>
          <w:szCs w:val="28"/>
          <w:lang w:val="el-GR"/>
        </w:rPr>
        <w:t xml:space="preserve"> και/ή μέχρι νεωτέρας διαταγής του Δικαστηρίου</w:t>
      </w:r>
      <w:r w:rsidR="00E416C2">
        <w:rPr>
          <w:rFonts w:ascii="Bookman Old Style" w:hAnsi="Bookman Old Style" w:cs="Arial"/>
          <w:sz w:val="28"/>
          <w:szCs w:val="28"/>
          <w:lang w:val="el-GR"/>
        </w:rPr>
        <w:t>».</w:t>
      </w:r>
    </w:p>
    <w:p w14:paraId="2FFC512D" w14:textId="77777777" w:rsidR="00A231EA" w:rsidRDefault="00A231EA" w:rsidP="0000790C">
      <w:pPr>
        <w:spacing w:line="480" w:lineRule="auto"/>
        <w:ind w:right="-35"/>
        <w:jc w:val="both"/>
        <w:rPr>
          <w:rFonts w:ascii="Bookman Old Style" w:hAnsi="Bookman Old Style" w:cs="Arial"/>
          <w:sz w:val="28"/>
          <w:szCs w:val="28"/>
          <w:lang w:val="el-GR"/>
        </w:rPr>
      </w:pPr>
    </w:p>
    <w:p w14:paraId="3BD92910" w14:textId="46071D77" w:rsidR="00A231EA" w:rsidRDefault="00A231EA"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του Ανδρέα Ιωάννου, ενός εκ των Αιτητών. </w:t>
      </w:r>
    </w:p>
    <w:p w14:paraId="5F8A5A9A" w14:textId="77777777" w:rsidR="00A231EA" w:rsidRDefault="00A231EA" w:rsidP="0000790C">
      <w:pPr>
        <w:spacing w:line="480" w:lineRule="auto"/>
        <w:ind w:right="-35"/>
        <w:jc w:val="both"/>
        <w:rPr>
          <w:rFonts w:ascii="Bookman Old Style" w:hAnsi="Bookman Old Style" w:cs="Arial"/>
          <w:sz w:val="28"/>
          <w:szCs w:val="28"/>
          <w:lang w:val="el-GR"/>
        </w:rPr>
      </w:pPr>
    </w:p>
    <w:p w14:paraId="1BCEC44E" w14:textId="32DC1E0A" w:rsidR="00A231EA" w:rsidRDefault="00A231EA"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Προτού γίνει αναφορά στους Λόγους επί των οποίων βασίζεται το αίτημα και εξειδικεύονται στην Έκθεση, κρίνεται σκόπιμη, για σκοπούς καλύτερης αντίληψης των περιστατικών της υπόθεσης, η αναφορά στα ουσιώδη γεγονότα της υπόθεσης, όπως αυτά καταγράφονται στην Ένορκη Δήλωση του Αιτητή και όπως προκύπτουν από το σύνολο των τεκμηρίων τα οποία επισυνάπτονται στην εν λόγω Ένορκη Δήλωση. </w:t>
      </w:r>
    </w:p>
    <w:p w14:paraId="64200FA5" w14:textId="77777777" w:rsidR="00A231EA" w:rsidRDefault="00A231EA" w:rsidP="0000790C">
      <w:pPr>
        <w:spacing w:line="480" w:lineRule="auto"/>
        <w:ind w:right="-35"/>
        <w:jc w:val="both"/>
        <w:rPr>
          <w:rFonts w:ascii="Bookman Old Style" w:hAnsi="Bookman Old Style" w:cs="Arial"/>
          <w:sz w:val="28"/>
          <w:szCs w:val="28"/>
          <w:lang w:val="el-GR"/>
        </w:rPr>
      </w:pPr>
    </w:p>
    <w:p w14:paraId="05F5EBEB" w14:textId="777B72D5" w:rsidR="00A231EA" w:rsidRDefault="00A231EA"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13/12/2023 καταχωρήθηκε από τους Αιτητές η Γενική</w:t>
      </w:r>
      <w:r w:rsidR="00802DDD">
        <w:rPr>
          <w:rFonts w:ascii="Bookman Old Style" w:hAnsi="Bookman Old Style" w:cs="Arial"/>
          <w:sz w:val="28"/>
          <w:szCs w:val="28"/>
          <w:lang w:val="el-GR"/>
        </w:rPr>
        <w:t xml:space="preserve"> Εταιρική</w:t>
      </w:r>
      <w:r>
        <w:rPr>
          <w:rFonts w:ascii="Bookman Old Style" w:hAnsi="Bookman Old Style" w:cs="Arial"/>
          <w:sz w:val="28"/>
          <w:szCs w:val="28"/>
          <w:lang w:val="el-GR"/>
        </w:rPr>
        <w:t xml:space="preserve"> Αίτηση υπ’ αρ. 64/2023 για διορισμό εξεταστή στις Εταιρείες </w:t>
      </w:r>
      <w:r>
        <w:rPr>
          <w:rFonts w:ascii="Bookman Old Style" w:hAnsi="Bookman Old Style" w:cs="Arial"/>
          <w:sz w:val="28"/>
          <w:szCs w:val="28"/>
          <w:lang w:val="en-US"/>
        </w:rPr>
        <w:t>ALPHA</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PANARETI</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PUBLIC</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LTD</w:t>
      </w:r>
      <w:r w:rsidRPr="00A231EA">
        <w:rPr>
          <w:rFonts w:ascii="Bookman Old Style" w:hAnsi="Bookman Old Style" w:cs="Arial"/>
          <w:sz w:val="28"/>
          <w:szCs w:val="28"/>
          <w:lang w:val="el-GR"/>
        </w:rPr>
        <w:t xml:space="preserve"> </w:t>
      </w:r>
      <w:r>
        <w:rPr>
          <w:rFonts w:ascii="Bookman Old Style" w:hAnsi="Bookman Old Style" w:cs="Arial"/>
          <w:sz w:val="28"/>
          <w:szCs w:val="28"/>
          <w:lang w:val="el-GR"/>
        </w:rPr>
        <w:t>και</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TH</w:t>
      </w:r>
      <w:r>
        <w:rPr>
          <w:rFonts w:ascii="Bookman Old Style" w:hAnsi="Bookman Old Style" w:cs="Arial"/>
          <w:sz w:val="28"/>
          <w:szCs w:val="28"/>
          <w:lang w:val="el-GR"/>
        </w:rPr>
        <w:t>Ε</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SUNSET</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BOULEVARD</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TO</w:t>
      </w:r>
      <w:r w:rsidR="0032796D">
        <w:rPr>
          <w:rFonts w:ascii="Bookman Old Style" w:hAnsi="Bookman Old Style" w:cs="Arial"/>
          <w:sz w:val="28"/>
          <w:szCs w:val="28"/>
          <w:lang w:val="en-US"/>
        </w:rPr>
        <w:t>U</w:t>
      </w:r>
      <w:r>
        <w:rPr>
          <w:rFonts w:ascii="Bookman Old Style" w:hAnsi="Bookman Old Style" w:cs="Arial"/>
          <w:sz w:val="28"/>
          <w:szCs w:val="28"/>
          <w:lang w:val="en-US"/>
        </w:rPr>
        <w:t>RIST</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AND</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ESTATE</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COMPANY</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LIMITED</w:t>
      </w:r>
      <w:r w:rsidRPr="00A231EA">
        <w:rPr>
          <w:rFonts w:ascii="Bookman Old Style" w:hAnsi="Bookman Old Style" w:cs="Arial"/>
          <w:sz w:val="28"/>
          <w:szCs w:val="28"/>
          <w:lang w:val="el-GR"/>
        </w:rPr>
        <w:t xml:space="preserve">, </w:t>
      </w:r>
      <w:r>
        <w:rPr>
          <w:rFonts w:ascii="Bookman Old Style" w:hAnsi="Bookman Old Style" w:cs="Arial"/>
          <w:sz w:val="28"/>
          <w:szCs w:val="28"/>
          <w:lang w:val="el-GR"/>
        </w:rPr>
        <w:t xml:space="preserve">με την οποία εξαιτούντο το διορισμό εξεταστή στις προαναφερόμενες Εταιρείες για σκοπούς εξέτασης των υποθέσεων τους και για να ασκήσει τα καθήκοντα και τις εξουσίες, όπως ο Νόμος ορίζει, σύμφωνα με τα </w:t>
      </w:r>
      <w:r w:rsidRPr="00A231EA">
        <w:rPr>
          <w:rFonts w:ascii="Bookman Old Style" w:hAnsi="Bookman Old Style" w:cs="Arial"/>
          <w:b/>
          <w:bCs/>
          <w:i/>
          <w:iCs/>
          <w:sz w:val="28"/>
          <w:szCs w:val="28"/>
          <w:lang w:val="el-GR"/>
        </w:rPr>
        <w:t>Άρθρα 20</w:t>
      </w:r>
      <w:r w:rsidR="00597BDF">
        <w:rPr>
          <w:rFonts w:ascii="Bookman Old Style" w:hAnsi="Bookman Old Style" w:cs="Arial"/>
          <w:b/>
          <w:bCs/>
          <w:i/>
          <w:iCs/>
          <w:sz w:val="28"/>
          <w:szCs w:val="28"/>
          <w:lang w:val="el-GR"/>
        </w:rPr>
        <w:t>2Α-</w:t>
      </w:r>
      <w:r w:rsidRPr="00A231EA">
        <w:rPr>
          <w:rFonts w:ascii="Bookman Old Style" w:hAnsi="Bookman Old Style" w:cs="Arial"/>
          <w:b/>
          <w:bCs/>
          <w:i/>
          <w:iCs/>
          <w:sz w:val="28"/>
          <w:szCs w:val="28"/>
          <w:lang w:val="el-GR"/>
        </w:rPr>
        <w:t xml:space="preserve">202Ν </w:t>
      </w:r>
      <w:r w:rsidRPr="00142536">
        <w:rPr>
          <w:rFonts w:ascii="Bookman Old Style" w:hAnsi="Bookman Old Style" w:cs="Arial"/>
          <w:sz w:val="28"/>
          <w:szCs w:val="28"/>
          <w:lang w:val="el-GR"/>
        </w:rPr>
        <w:t>του</w:t>
      </w:r>
      <w:r w:rsidRPr="00A231EA">
        <w:rPr>
          <w:rFonts w:ascii="Bookman Old Style" w:hAnsi="Bookman Old Style" w:cs="Arial"/>
          <w:b/>
          <w:bCs/>
          <w:i/>
          <w:iCs/>
          <w:sz w:val="28"/>
          <w:szCs w:val="28"/>
          <w:lang w:val="el-GR"/>
        </w:rPr>
        <w:t xml:space="preserve"> περί Εταιρειών Νόμου, Κεφ. 113</w:t>
      </w:r>
      <w:r>
        <w:rPr>
          <w:rFonts w:ascii="Bookman Old Style" w:hAnsi="Bookman Old Style" w:cs="Arial"/>
          <w:sz w:val="28"/>
          <w:szCs w:val="28"/>
          <w:lang w:val="el-GR"/>
        </w:rPr>
        <w:t>.</w:t>
      </w:r>
    </w:p>
    <w:p w14:paraId="1E82B901" w14:textId="77777777" w:rsidR="00A231EA" w:rsidRDefault="00A231EA" w:rsidP="0000790C">
      <w:pPr>
        <w:spacing w:line="480" w:lineRule="auto"/>
        <w:ind w:right="-35"/>
        <w:jc w:val="both"/>
        <w:rPr>
          <w:rFonts w:ascii="Bookman Old Style" w:hAnsi="Bookman Old Style" w:cs="Arial"/>
          <w:sz w:val="28"/>
          <w:szCs w:val="28"/>
          <w:lang w:val="el-GR"/>
        </w:rPr>
      </w:pPr>
    </w:p>
    <w:p w14:paraId="59C3EC0C" w14:textId="62E9D308" w:rsidR="00A231EA" w:rsidRDefault="00A231EA"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υπό τον ως άνω αριθμό και τίτλο Γενική Αίτηση υποβλήθηκε από τους Αιτητές 1-5 υπό την ιδιότητα τους ως διοικητικοί σύμβουλοι, μέτοχοι και εγγυητές των Εταιρειών. Η Εταιρεία </w:t>
      </w:r>
      <w:r>
        <w:rPr>
          <w:rFonts w:ascii="Bookman Old Style" w:hAnsi="Bookman Old Style" w:cs="Arial"/>
          <w:sz w:val="28"/>
          <w:szCs w:val="28"/>
          <w:lang w:val="en-US"/>
        </w:rPr>
        <w:t>ALPHA</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PANARETI</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PUBLIC</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LTD</w:t>
      </w:r>
      <w:r>
        <w:rPr>
          <w:rFonts w:ascii="Bookman Old Style" w:hAnsi="Bookman Old Style" w:cs="Arial"/>
          <w:sz w:val="28"/>
          <w:szCs w:val="28"/>
          <w:lang w:val="el-GR"/>
        </w:rPr>
        <w:t xml:space="preserve"> αποτελεί τη μητρική εταιρεία του Ομίλου Εταιρειών </w:t>
      </w:r>
      <w:r>
        <w:rPr>
          <w:rFonts w:ascii="Bookman Old Style" w:hAnsi="Bookman Old Style" w:cs="Arial"/>
          <w:sz w:val="28"/>
          <w:szCs w:val="28"/>
          <w:lang w:val="en-US"/>
        </w:rPr>
        <w:t>ALPHA</w:t>
      </w:r>
      <w:r w:rsidRPr="00A231EA">
        <w:rPr>
          <w:rFonts w:ascii="Bookman Old Style" w:hAnsi="Bookman Old Style" w:cs="Arial"/>
          <w:sz w:val="28"/>
          <w:szCs w:val="28"/>
          <w:lang w:val="el-GR"/>
        </w:rPr>
        <w:t xml:space="preserve"> </w:t>
      </w:r>
      <w:r>
        <w:rPr>
          <w:rFonts w:ascii="Bookman Old Style" w:hAnsi="Bookman Old Style" w:cs="Arial"/>
          <w:sz w:val="28"/>
          <w:szCs w:val="28"/>
          <w:lang w:val="en-US"/>
        </w:rPr>
        <w:t>PANARETI</w:t>
      </w:r>
      <w:r>
        <w:rPr>
          <w:rFonts w:ascii="Bookman Old Style" w:hAnsi="Bookman Old Style" w:cs="Arial"/>
          <w:sz w:val="28"/>
          <w:szCs w:val="28"/>
          <w:lang w:val="el-GR"/>
        </w:rPr>
        <w:t xml:space="preserve"> (εφεξής η «μητρική εταιρεία»), ο οποίος δραστηριοποιείται σε ένα ευρύ φάσμα επιχειρηματικών δραστηριοτήτων που περιλαμβάνει τον τομέα αγοράς και ανάπτυξης γης, ενοικιάσεις ακινήτων, εργοληπτικές εργασίες, ξενοδοχεία και τουριστικά καταλύματα, ενώ δραστηριοποιείται επιπλέον και στον τομέα της ενέργειας. </w:t>
      </w:r>
      <w:r w:rsidR="00AD0875">
        <w:rPr>
          <w:rFonts w:ascii="Bookman Old Style" w:hAnsi="Bookman Old Style" w:cs="Arial"/>
          <w:sz w:val="28"/>
          <w:szCs w:val="28"/>
          <w:lang w:val="el-GR"/>
        </w:rPr>
        <w:t xml:space="preserve">Μεταξύ των θυγατρικών εταιρειών και σχετιζόμενων εταιρειών με τη μητρική εταιρεία, είναι και η </w:t>
      </w:r>
      <w:r w:rsidR="00AD0875">
        <w:rPr>
          <w:rFonts w:ascii="Bookman Old Style" w:hAnsi="Bookman Old Style" w:cs="Arial"/>
          <w:sz w:val="28"/>
          <w:szCs w:val="28"/>
          <w:lang w:val="en-US"/>
        </w:rPr>
        <w:t>TH</w:t>
      </w:r>
      <w:r w:rsidR="00AD0875">
        <w:rPr>
          <w:rFonts w:ascii="Bookman Old Style" w:hAnsi="Bookman Old Style" w:cs="Arial"/>
          <w:sz w:val="28"/>
          <w:szCs w:val="28"/>
          <w:lang w:val="el-GR"/>
        </w:rPr>
        <w:t>Ε</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SUNSET</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BOULEVARD</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TO</w:t>
      </w:r>
      <w:r w:rsidR="0032796D">
        <w:rPr>
          <w:rFonts w:ascii="Bookman Old Style" w:hAnsi="Bookman Old Style" w:cs="Arial"/>
          <w:sz w:val="28"/>
          <w:szCs w:val="28"/>
          <w:lang w:val="en-US"/>
        </w:rPr>
        <w:t>U</w:t>
      </w:r>
      <w:r w:rsidR="00AD0875">
        <w:rPr>
          <w:rFonts w:ascii="Bookman Old Style" w:hAnsi="Bookman Old Style" w:cs="Arial"/>
          <w:sz w:val="28"/>
          <w:szCs w:val="28"/>
          <w:lang w:val="en-US"/>
        </w:rPr>
        <w:t>RIST</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AND</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ESTATE</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COMPANY</w:t>
      </w:r>
      <w:r w:rsidR="00AD0875" w:rsidRPr="00A231EA">
        <w:rPr>
          <w:rFonts w:ascii="Bookman Old Style" w:hAnsi="Bookman Old Style" w:cs="Arial"/>
          <w:sz w:val="28"/>
          <w:szCs w:val="28"/>
          <w:lang w:val="el-GR"/>
        </w:rPr>
        <w:t xml:space="preserve"> </w:t>
      </w:r>
      <w:r w:rsidR="00AD0875">
        <w:rPr>
          <w:rFonts w:ascii="Bookman Old Style" w:hAnsi="Bookman Old Style" w:cs="Arial"/>
          <w:sz w:val="28"/>
          <w:szCs w:val="28"/>
          <w:lang w:val="en-US"/>
        </w:rPr>
        <w:t>LIMITED</w:t>
      </w:r>
      <w:r w:rsidR="00AD0875">
        <w:rPr>
          <w:rFonts w:ascii="Bookman Old Style" w:hAnsi="Bookman Old Style" w:cs="Arial"/>
          <w:sz w:val="28"/>
          <w:szCs w:val="28"/>
          <w:lang w:val="el-GR"/>
        </w:rPr>
        <w:t xml:space="preserve"> (εφεξής «η σχετιζόμενη εταιρεία»), η οποία δραστηριοποιείται στον τομέα ενοικίασης ακινήτων και τουριστικών καταλυμάτων. Ανάμεσα στις επιχειρηματικές δραστηριότητες των πιο πάνω Εταιρειών είναι και </w:t>
      </w:r>
      <w:r w:rsidR="00087138">
        <w:rPr>
          <w:rFonts w:ascii="Bookman Old Style" w:hAnsi="Bookman Old Style" w:cs="Arial"/>
          <w:sz w:val="28"/>
          <w:szCs w:val="28"/>
          <w:lang w:val="el-GR"/>
        </w:rPr>
        <w:t>οι</w:t>
      </w:r>
      <w:r w:rsidR="00AD0875">
        <w:rPr>
          <w:rFonts w:ascii="Bookman Old Style" w:hAnsi="Bookman Old Style" w:cs="Arial"/>
          <w:sz w:val="28"/>
          <w:szCs w:val="28"/>
          <w:lang w:val="el-GR"/>
        </w:rPr>
        <w:t xml:space="preserve"> χρονομεριστικές μισθώσεις. </w:t>
      </w:r>
    </w:p>
    <w:p w14:paraId="67FD7A4F" w14:textId="77777777" w:rsidR="0032796D" w:rsidRDefault="0032796D" w:rsidP="0000790C">
      <w:pPr>
        <w:spacing w:line="480" w:lineRule="auto"/>
        <w:ind w:right="-35"/>
        <w:jc w:val="both"/>
        <w:rPr>
          <w:rFonts w:ascii="Bookman Old Style" w:hAnsi="Bookman Old Style" w:cs="Arial"/>
          <w:sz w:val="28"/>
          <w:szCs w:val="28"/>
          <w:lang w:val="el-GR"/>
        </w:rPr>
      </w:pPr>
    </w:p>
    <w:p w14:paraId="6DF3E6EC" w14:textId="46BD586B" w:rsidR="0032796D" w:rsidRDefault="0032796D"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Από τις 13/12/2023, ημέρα καταχώρισης της Αίτησης, παραδόθηκαν προς τα ενδιαφερόμενα μέρη, όπως ο Νόμος ορίζει, οι σχετικές ειδοποιήσεις, καθώς και προθεσμία για παράδοση της ειδοποίησης. </w:t>
      </w:r>
    </w:p>
    <w:p w14:paraId="6C7BAF35" w14:textId="77777777" w:rsidR="0032796D" w:rsidRDefault="0032796D" w:rsidP="0000790C">
      <w:pPr>
        <w:spacing w:line="480" w:lineRule="auto"/>
        <w:ind w:right="-35"/>
        <w:jc w:val="both"/>
        <w:rPr>
          <w:rFonts w:ascii="Bookman Old Style" w:hAnsi="Bookman Old Style" w:cs="Arial"/>
          <w:sz w:val="28"/>
          <w:szCs w:val="28"/>
          <w:lang w:val="el-GR"/>
        </w:rPr>
      </w:pPr>
    </w:p>
    <w:p w14:paraId="172CF179" w14:textId="55F1453F" w:rsidR="00AC2FD6" w:rsidRDefault="0032796D"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την ανακοίνωση</w:t>
      </w:r>
      <w:r w:rsidR="000F7844" w:rsidRPr="000F7844">
        <w:rPr>
          <w:rFonts w:ascii="Bookman Old Style" w:hAnsi="Bookman Old Style" w:cs="Arial"/>
          <w:sz w:val="28"/>
          <w:szCs w:val="28"/>
          <w:lang w:val="el-GR"/>
        </w:rPr>
        <w:t xml:space="preserve"> </w:t>
      </w:r>
      <w:r w:rsidR="000F7844">
        <w:rPr>
          <w:rFonts w:ascii="Bookman Old Style" w:hAnsi="Bookman Old Style" w:cs="Arial"/>
          <w:sz w:val="28"/>
          <w:szCs w:val="28"/>
          <w:lang w:val="el-GR"/>
        </w:rPr>
        <w:t>στις 14/12/2023</w:t>
      </w:r>
      <w:r>
        <w:rPr>
          <w:rFonts w:ascii="Bookman Old Style" w:hAnsi="Bookman Old Style" w:cs="Arial"/>
          <w:sz w:val="28"/>
          <w:szCs w:val="28"/>
          <w:lang w:val="el-GR"/>
        </w:rPr>
        <w:t xml:space="preserve"> της καταχώρισης της Γενικής Αίτησης, ο φερόμενος</w:t>
      </w:r>
      <w:r w:rsidR="000F7844">
        <w:rPr>
          <w:rFonts w:ascii="Bookman Old Style" w:hAnsi="Bookman Old Style" w:cs="Arial"/>
          <w:sz w:val="28"/>
          <w:szCs w:val="28"/>
          <w:lang w:val="el-GR"/>
        </w:rPr>
        <w:t>, όπως αναφέρεται,</w:t>
      </w:r>
      <w:r>
        <w:rPr>
          <w:rFonts w:ascii="Bookman Old Style" w:hAnsi="Bookman Old Style" w:cs="Arial"/>
          <w:sz w:val="28"/>
          <w:szCs w:val="28"/>
          <w:lang w:val="el-GR"/>
        </w:rPr>
        <w:t xml:space="preserve"> ως </w:t>
      </w:r>
      <w:r w:rsidR="006847D1">
        <w:rPr>
          <w:rFonts w:ascii="Bookman Old Style" w:hAnsi="Bookman Old Style" w:cs="Arial"/>
          <w:sz w:val="28"/>
          <w:szCs w:val="28"/>
          <w:lang w:val="el-GR"/>
        </w:rPr>
        <w:t xml:space="preserve">Παραλήπτης/Διαχειριστής </w:t>
      </w:r>
      <w:r>
        <w:rPr>
          <w:rFonts w:ascii="Bookman Old Style" w:hAnsi="Bookman Old Style" w:cs="Arial"/>
          <w:sz w:val="28"/>
          <w:szCs w:val="28"/>
          <w:lang w:val="el-GR"/>
        </w:rPr>
        <w:t>Αντώνης Βασιλείου, του οποίου το διορισμό δεν αναγνωρίζουν οι Αιτητές, αλλά θεωρούν παράνομο επεμβασία στην περιουσία και επιχειρηματική δραστηριότητα των Εταιρειών, σύμφωνα με τους ισχυρισμούς των Αιτητών</w:t>
      </w:r>
      <w:r w:rsidR="00597BDF">
        <w:rPr>
          <w:rFonts w:ascii="Bookman Old Style" w:hAnsi="Bookman Old Style" w:cs="Arial"/>
          <w:sz w:val="28"/>
          <w:szCs w:val="28"/>
          <w:lang w:val="el-GR"/>
        </w:rPr>
        <w:t>,</w:t>
      </w:r>
      <w:r>
        <w:rPr>
          <w:rFonts w:ascii="Bookman Old Style" w:hAnsi="Bookman Old Style" w:cs="Arial"/>
          <w:sz w:val="28"/>
          <w:szCs w:val="28"/>
          <w:lang w:val="el-GR"/>
        </w:rPr>
        <w:t xml:space="preserve"> εξεμάνη και αύξησε τον αριθμό «μπράβων» για να εισέλθουν τόσο στο ξενοδοχείο της μητρικής εταιρείας </w:t>
      </w:r>
      <w:r>
        <w:rPr>
          <w:rFonts w:ascii="Bookman Old Style" w:hAnsi="Bookman Old Style" w:cs="Arial"/>
          <w:sz w:val="28"/>
          <w:szCs w:val="28"/>
          <w:lang w:val="en-US"/>
        </w:rPr>
        <w:t>PANARETI</w:t>
      </w:r>
      <w:r w:rsidRPr="0032796D">
        <w:rPr>
          <w:rFonts w:ascii="Bookman Old Style" w:hAnsi="Bookman Old Style" w:cs="Arial"/>
          <w:sz w:val="28"/>
          <w:szCs w:val="28"/>
          <w:lang w:val="el-GR"/>
        </w:rPr>
        <w:t xml:space="preserve"> </w:t>
      </w:r>
      <w:r>
        <w:rPr>
          <w:rFonts w:ascii="Bookman Old Style" w:hAnsi="Bookman Old Style" w:cs="Arial"/>
          <w:sz w:val="28"/>
          <w:szCs w:val="28"/>
          <w:lang w:val="en-US"/>
        </w:rPr>
        <w:t>CORAL</w:t>
      </w:r>
      <w:r w:rsidRPr="0032796D">
        <w:rPr>
          <w:rFonts w:ascii="Bookman Old Style" w:hAnsi="Bookman Old Style" w:cs="Arial"/>
          <w:sz w:val="28"/>
          <w:szCs w:val="28"/>
          <w:lang w:val="el-GR"/>
        </w:rPr>
        <w:t xml:space="preserve"> </w:t>
      </w:r>
      <w:r>
        <w:rPr>
          <w:rFonts w:ascii="Bookman Old Style" w:hAnsi="Bookman Old Style" w:cs="Arial"/>
          <w:sz w:val="28"/>
          <w:szCs w:val="28"/>
          <w:lang w:val="en-US"/>
        </w:rPr>
        <w:t>BAY</w:t>
      </w:r>
      <w:r>
        <w:rPr>
          <w:rFonts w:ascii="Bookman Old Style" w:hAnsi="Bookman Old Style" w:cs="Arial"/>
          <w:sz w:val="28"/>
          <w:szCs w:val="28"/>
          <w:lang w:val="el-GR"/>
        </w:rPr>
        <w:t xml:space="preserve">, όσο και στα γραφεία της μητρικής εταιρείας, απαγορεύοντας την είσοδο των Αιτητών, καθώς και των υπαλλήλων τους. Οι εν λόγω μπράβοι είχαν επιχειρήσει να μπουν ξανά στην περιουσία των Εταιρειών και ενώ οι Αιτητές τους είχαν εκδιώξει. </w:t>
      </w:r>
    </w:p>
    <w:p w14:paraId="3B1BEBDB" w14:textId="77777777" w:rsidR="00AC2FD6" w:rsidRDefault="00AC2FD6" w:rsidP="0032796D">
      <w:pPr>
        <w:spacing w:line="480" w:lineRule="auto"/>
        <w:ind w:right="-35"/>
        <w:jc w:val="both"/>
        <w:rPr>
          <w:rFonts w:ascii="Bookman Old Style" w:hAnsi="Bookman Old Style" w:cs="Arial"/>
          <w:sz w:val="28"/>
          <w:szCs w:val="28"/>
          <w:lang w:val="el-GR"/>
        </w:rPr>
      </w:pPr>
    </w:p>
    <w:p w14:paraId="174228D2" w14:textId="32387637" w:rsidR="0032796D" w:rsidRDefault="0032796D"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αντίδραση των Αιτητών ήταν να καταγγελθεί η πιο πάνω κατάσταση στην Αστυνομία, χωρίς</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ωστόσο</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να υπάρχει κάποιο αποτέλεσμα. </w:t>
      </w:r>
    </w:p>
    <w:p w14:paraId="579C4C90" w14:textId="77777777" w:rsidR="00186D6E" w:rsidRDefault="00186D6E" w:rsidP="0032796D">
      <w:pPr>
        <w:spacing w:line="480" w:lineRule="auto"/>
        <w:ind w:right="-35"/>
        <w:jc w:val="both"/>
        <w:rPr>
          <w:rFonts w:ascii="Bookman Old Style" w:hAnsi="Bookman Old Style" w:cs="Arial"/>
          <w:sz w:val="28"/>
          <w:szCs w:val="28"/>
          <w:lang w:val="el-GR"/>
        </w:rPr>
      </w:pPr>
    </w:p>
    <w:p w14:paraId="006B9CF6" w14:textId="0EDF8BDF" w:rsidR="00B23172" w:rsidRDefault="00B23172"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Ενόψει των πιο πάνω</w:t>
      </w:r>
      <w:r w:rsidR="00802DDD">
        <w:rPr>
          <w:rFonts w:ascii="Bookman Old Style" w:hAnsi="Bookman Old Style" w:cs="Arial"/>
          <w:sz w:val="28"/>
          <w:szCs w:val="28"/>
          <w:lang w:val="el-GR"/>
        </w:rPr>
        <w:t>,</w:t>
      </w:r>
      <w:r>
        <w:rPr>
          <w:rFonts w:ascii="Bookman Old Style" w:hAnsi="Bookman Old Style" w:cs="Arial"/>
          <w:sz w:val="28"/>
          <w:szCs w:val="28"/>
          <w:lang w:val="el-GR"/>
        </w:rPr>
        <w:t xml:space="preserve"> </w:t>
      </w:r>
      <w:r w:rsidR="00802DDD">
        <w:rPr>
          <w:rFonts w:ascii="Bookman Old Style" w:hAnsi="Bookman Old Style" w:cs="Arial"/>
          <w:sz w:val="28"/>
          <w:szCs w:val="28"/>
          <w:lang w:val="el-GR"/>
        </w:rPr>
        <w:t>δύο μέρες μετά την καταχώρ</w:t>
      </w:r>
      <w:r w:rsidR="006809BA">
        <w:rPr>
          <w:rFonts w:ascii="Bookman Old Style" w:hAnsi="Bookman Old Style" w:cs="Arial"/>
          <w:sz w:val="28"/>
          <w:szCs w:val="28"/>
          <w:lang w:val="el-GR"/>
        </w:rPr>
        <w:t>ι</w:t>
      </w:r>
      <w:r w:rsidR="00802DDD">
        <w:rPr>
          <w:rFonts w:ascii="Bookman Old Style" w:hAnsi="Bookman Old Style" w:cs="Arial"/>
          <w:sz w:val="28"/>
          <w:szCs w:val="28"/>
          <w:lang w:val="el-GR"/>
        </w:rPr>
        <w:t xml:space="preserve">ση της Γενικής Αίτησης, ήτοι στις 15/12/2023, </w:t>
      </w:r>
      <w:r>
        <w:rPr>
          <w:rFonts w:ascii="Bookman Old Style" w:hAnsi="Bookman Old Style" w:cs="Arial"/>
          <w:sz w:val="28"/>
          <w:szCs w:val="28"/>
          <w:lang w:val="el-GR"/>
        </w:rPr>
        <w:t>οι Αιτητές προχώρησαν</w:t>
      </w:r>
      <w:r w:rsidR="00802DDD">
        <w:rPr>
          <w:rFonts w:ascii="Bookman Old Style" w:hAnsi="Bookman Old Style" w:cs="Arial"/>
          <w:sz w:val="28"/>
          <w:szCs w:val="28"/>
          <w:lang w:val="el-GR"/>
        </w:rPr>
        <w:t xml:space="preserve"> </w:t>
      </w:r>
      <w:r>
        <w:rPr>
          <w:rFonts w:ascii="Bookman Old Style" w:hAnsi="Bookman Old Style" w:cs="Arial"/>
          <w:sz w:val="28"/>
          <w:szCs w:val="28"/>
          <w:lang w:val="el-GR"/>
        </w:rPr>
        <w:t xml:space="preserve">με την καταχώριση μονομερούς </w:t>
      </w:r>
      <w:r w:rsidR="000F7844">
        <w:rPr>
          <w:rFonts w:ascii="Bookman Old Style" w:hAnsi="Bookman Old Style" w:cs="Arial"/>
          <w:sz w:val="28"/>
          <w:szCs w:val="28"/>
          <w:lang w:val="el-GR"/>
        </w:rPr>
        <w:t>Α</w:t>
      </w:r>
      <w:r>
        <w:rPr>
          <w:rFonts w:ascii="Bookman Old Style" w:hAnsi="Bookman Old Style" w:cs="Arial"/>
          <w:sz w:val="28"/>
          <w:szCs w:val="28"/>
          <w:lang w:val="el-GR"/>
        </w:rPr>
        <w:t xml:space="preserve">ίτησης για την έκδοση </w:t>
      </w:r>
      <w:r w:rsidR="000F7844">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που να απαγορεύει στον Αντώνη Βασιλείου να ενεργεί, όπως οι Αιτητές υποστήριξαν, κατά παράβαση του Νόμου και εις βάρος των συμφερόντων των Εταιρειών. </w:t>
      </w:r>
    </w:p>
    <w:p w14:paraId="7A3955E7" w14:textId="77777777" w:rsidR="00C34D0C" w:rsidRDefault="00C34D0C" w:rsidP="0032796D">
      <w:pPr>
        <w:spacing w:line="480" w:lineRule="auto"/>
        <w:ind w:right="-35"/>
        <w:jc w:val="both"/>
        <w:rPr>
          <w:rFonts w:ascii="Bookman Old Style" w:hAnsi="Bookman Old Style" w:cs="Arial"/>
          <w:sz w:val="28"/>
          <w:szCs w:val="28"/>
          <w:lang w:val="el-GR"/>
        </w:rPr>
      </w:pPr>
    </w:p>
    <w:p w14:paraId="4262DC56" w14:textId="459EF5EA" w:rsidR="00C34D0C" w:rsidRDefault="00C34D0C"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Αποτέλεσε θέση των Αιτητών ότι οι ενέργειες του φερόμενου ως </w:t>
      </w:r>
      <w:r w:rsidR="005E6C8D">
        <w:rPr>
          <w:rFonts w:ascii="Bookman Old Style" w:hAnsi="Bookman Old Style" w:cs="Arial"/>
          <w:sz w:val="28"/>
          <w:szCs w:val="28"/>
          <w:lang w:val="el-GR"/>
        </w:rPr>
        <w:t>Παραλήπτη/Διαχειριστή</w:t>
      </w:r>
      <w:r w:rsidR="004605E0">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η αύξηση των μπράβων τόσο στο ξενοδοχείο όσο και στα γραφεία της Εταιρείας, δεν είναι μόνο επιζήμια αλλά γίνεται επί σκοπού για να καταστραφεί τελειωτικά η προοπτική επιβίωσης των Εταιρειών ως </w:t>
      </w:r>
      <w:r w:rsidR="004605E0">
        <w:rPr>
          <w:rFonts w:ascii="Bookman Old Style" w:hAnsi="Bookman Old Style" w:cs="Arial"/>
          <w:sz w:val="28"/>
          <w:szCs w:val="28"/>
          <w:lang w:val="el-GR"/>
        </w:rPr>
        <w:t>δ</w:t>
      </w:r>
      <w:r>
        <w:rPr>
          <w:rFonts w:ascii="Bookman Old Style" w:hAnsi="Bookman Old Style" w:cs="Arial"/>
          <w:sz w:val="28"/>
          <w:szCs w:val="28"/>
          <w:lang w:val="el-GR"/>
        </w:rPr>
        <w:t xml:space="preserve">ρώσας οικονομικής μονάδας. </w:t>
      </w:r>
    </w:p>
    <w:p w14:paraId="5BA0F5D2" w14:textId="77777777" w:rsidR="006F1D6E" w:rsidRDefault="006F1D6E" w:rsidP="0032796D">
      <w:pPr>
        <w:spacing w:line="480" w:lineRule="auto"/>
        <w:ind w:right="-35"/>
        <w:jc w:val="both"/>
        <w:rPr>
          <w:rFonts w:ascii="Bookman Old Style" w:hAnsi="Bookman Old Style" w:cs="Arial"/>
          <w:sz w:val="28"/>
          <w:szCs w:val="28"/>
          <w:lang w:val="el-GR"/>
        </w:rPr>
      </w:pPr>
    </w:p>
    <w:p w14:paraId="36D560A3" w14:textId="609A49F9" w:rsidR="003158B5" w:rsidRDefault="003158B5"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Λόγοι επί των οποίων βασίζεται το αίτημα</w:t>
      </w:r>
      <w:r w:rsidR="001E24B2">
        <w:rPr>
          <w:rFonts w:ascii="Bookman Old Style" w:hAnsi="Bookman Old Style" w:cs="Arial"/>
          <w:sz w:val="28"/>
          <w:szCs w:val="28"/>
          <w:lang w:val="el-GR"/>
        </w:rPr>
        <w:t xml:space="preserve"> για άδεια</w:t>
      </w:r>
      <w:r>
        <w:rPr>
          <w:rFonts w:ascii="Bookman Old Style" w:hAnsi="Bookman Old Style" w:cs="Arial"/>
          <w:sz w:val="28"/>
          <w:szCs w:val="28"/>
          <w:lang w:val="el-GR"/>
        </w:rPr>
        <w:t xml:space="preserve"> εξειδικεύονται στην Έκθεση. </w:t>
      </w:r>
    </w:p>
    <w:p w14:paraId="01EC94B1" w14:textId="77777777" w:rsidR="003158B5" w:rsidRDefault="003158B5" w:rsidP="0032796D">
      <w:pPr>
        <w:spacing w:line="480" w:lineRule="auto"/>
        <w:ind w:right="-35"/>
        <w:jc w:val="both"/>
        <w:rPr>
          <w:rFonts w:ascii="Bookman Old Style" w:hAnsi="Bookman Old Style" w:cs="Arial"/>
          <w:sz w:val="28"/>
          <w:szCs w:val="28"/>
          <w:lang w:val="el-GR"/>
        </w:rPr>
      </w:pPr>
    </w:p>
    <w:p w14:paraId="61048290" w14:textId="42C680AB" w:rsidR="003158B5" w:rsidRDefault="003158B5" w:rsidP="0032796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Ειδικότερα προβάλλεται ότι η Απόφαση του Κατώτερου Δικαστηρίου με την οποία απερρίφθη η μονομερής </w:t>
      </w:r>
      <w:r w:rsidR="000F7844">
        <w:rPr>
          <w:rFonts w:ascii="Bookman Old Style" w:hAnsi="Bookman Old Style" w:cs="Arial"/>
          <w:sz w:val="28"/>
          <w:szCs w:val="28"/>
          <w:lang w:val="el-GR"/>
        </w:rPr>
        <w:t>Α</w:t>
      </w:r>
      <w:r>
        <w:rPr>
          <w:rFonts w:ascii="Bookman Old Style" w:hAnsi="Bookman Old Style" w:cs="Arial"/>
          <w:sz w:val="28"/>
          <w:szCs w:val="28"/>
          <w:lang w:val="el-GR"/>
        </w:rPr>
        <w:t xml:space="preserve">ίτηση ημερ. 15/12/2023 για έκδοση απαγορευτικού </w:t>
      </w:r>
      <w:r w:rsidR="000F7844">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εκδόθηκε καθ’ υπέρβαση της εξουσίας του Δικαστηρίου και κατά έκδηλη νομική πλάνη, όπως προκύπτει πρόδηλα από το πρακτικό και την Απόφαση, διότι εκδόθηκε χωρίς να λαμβάνει υπόψη τις πρόνοιες των </w:t>
      </w:r>
      <w:r>
        <w:rPr>
          <w:rFonts w:ascii="Bookman Old Style" w:hAnsi="Bookman Old Style" w:cs="Arial"/>
          <w:b/>
          <w:bCs/>
          <w:i/>
          <w:iCs/>
          <w:sz w:val="28"/>
          <w:szCs w:val="28"/>
          <w:lang w:val="el-GR"/>
        </w:rPr>
        <w:t xml:space="preserve">Άρθρων 202Α-202Ν </w:t>
      </w:r>
      <w:r w:rsidRPr="00142536">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περί Εταιρειών Νόμου, Κεφ. 113</w:t>
      </w:r>
      <w:r>
        <w:rPr>
          <w:rFonts w:ascii="Bookman Old Style" w:hAnsi="Bookman Old Style" w:cs="Arial"/>
          <w:sz w:val="28"/>
          <w:szCs w:val="28"/>
          <w:lang w:val="el-GR"/>
        </w:rPr>
        <w:t xml:space="preserve"> και ειδικότερα του </w:t>
      </w:r>
      <w:r>
        <w:rPr>
          <w:rFonts w:ascii="Bookman Old Style" w:hAnsi="Bookman Old Style" w:cs="Arial"/>
          <w:b/>
          <w:bCs/>
          <w:i/>
          <w:iCs/>
          <w:sz w:val="28"/>
          <w:szCs w:val="28"/>
          <w:lang w:val="el-GR"/>
        </w:rPr>
        <w:t>Άρθρου 202Η</w:t>
      </w:r>
      <w:r w:rsidR="00802DDD">
        <w:rPr>
          <w:rStyle w:val="FootnoteReference"/>
          <w:rFonts w:ascii="Bookman Old Style" w:hAnsi="Bookman Old Style" w:cs="Arial"/>
          <w:b/>
          <w:bCs/>
          <w:i/>
          <w:iCs/>
          <w:sz w:val="28"/>
          <w:szCs w:val="28"/>
          <w:lang w:val="el-GR"/>
        </w:rPr>
        <w:footnoteReference w:id="1"/>
      </w:r>
      <w:r>
        <w:rPr>
          <w:rFonts w:ascii="Bookman Old Style" w:hAnsi="Bookman Old Style" w:cs="Arial"/>
          <w:sz w:val="28"/>
          <w:szCs w:val="28"/>
          <w:lang w:val="el-GR"/>
        </w:rPr>
        <w:t xml:space="preserve">, δυνάμει του οποίου </w:t>
      </w:r>
      <w:r w:rsidR="001B71AD">
        <w:rPr>
          <w:rFonts w:ascii="Bookman Old Style" w:hAnsi="Bookman Old Style" w:cs="Arial"/>
          <w:sz w:val="28"/>
          <w:szCs w:val="28"/>
          <w:lang w:val="el-GR"/>
        </w:rPr>
        <w:t xml:space="preserve"> </w:t>
      </w:r>
      <w:r>
        <w:rPr>
          <w:rFonts w:ascii="Bookman Old Style" w:hAnsi="Bookman Old Style" w:cs="Arial"/>
          <w:sz w:val="28"/>
          <w:szCs w:val="28"/>
          <w:lang w:val="el-GR"/>
        </w:rPr>
        <w:t>κατά την περίοδο μεταξύ της ημερομηνίας υποβολής της Γενικής Αίτησης για διορισμό εξεταστή μέχρι τη λήξη περιόδου τεσσάρων μηνών, ή την απόσυρση ή απόρριψη της Αίτησης, οι Εταιρείες στις οποίες αφορά η Αίτηση θεωρείται αυτοδικαίως ότι τελούν υπό την προστασία του Δικαστηρίου.</w:t>
      </w:r>
    </w:p>
    <w:p w14:paraId="30FB87BC" w14:textId="77777777" w:rsidR="003158B5" w:rsidRDefault="003158B5" w:rsidP="0032796D">
      <w:pPr>
        <w:spacing w:line="480" w:lineRule="auto"/>
        <w:ind w:right="-35"/>
        <w:jc w:val="both"/>
        <w:rPr>
          <w:rFonts w:ascii="Bookman Old Style" w:hAnsi="Bookman Old Style" w:cs="Arial"/>
          <w:sz w:val="28"/>
          <w:szCs w:val="28"/>
          <w:lang w:val="el-GR"/>
        </w:rPr>
      </w:pPr>
    </w:p>
    <w:p w14:paraId="6D95A4F5" w14:textId="2E74CE09" w:rsidR="003158B5" w:rsidRDefault="003158B5" w:rsidP="003158B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Προβάλλεται</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ακόμη</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ότι το Κατώτερο Δικαστήριο δεν έλαβε καθόλου υπόψη του το γεγονός ότι σύμφωνα με το Νόμο οι Εταιρείες βρίσκονται υπό την προστασία του και όφειλε να ενεργήσει με τρόπο που να διαφυλάσσεται η συμμόρφωση με τις πρόνοιες του </w:t>
      </w:r>
      <w:r>
        <w:rPr>
          <w:rFonts w:ascii="Bookman Old Style" w:hAnsi="Bookman Old Style" w:cs="Arial"/>
          <w:b/>
          <w:bCs/>
          <w:i/>
          <w:iCs/>
          <w:sz w:val="28"/>
          <w:szCs w:val="28"/>
          <w:lang w:val="el-GR"/>
        </w:rPr>
        <w:t xml:space="preserve">Άρθρου 202Η </w:t>
      </w:r>
      <w:r>
        <w:rPr>
          <w:rFonts w:ascii="Bookman Old Style" w:hAnsi="Bookman Old Style" w:cs="Arial"/>
          <w:sz w:val="28"/>
          <w:szCs w:val="28"/>
          <w:lang w:val="el-GR"/>
        </w:rPr>
        <w:t xml:space="preserve">και με εμφανή πλάνη περί το Νόμο δεν εφάρμοσε τις επιτακτικές νομοθετικές διατάξεις οι οποίες επιβάλλουν την προσωρινή προστασία από το Δικαστήριο. Περαιτέρω προβάλλεται ότι το Κατώτερο Δικαστήριο αντίκρισε τη μονομερή αίτηση ως μια συνηθισμένη αίτηση για την έκδοση ενός απαγορευτικού διατάγματος, ενώ είχε υποχρέωση να εφαρμόσει τις ρητές και αδιαμφισβήτητες διατάξεις του </w:t>
      </w:r>
      <w:r w:rsidRPr="003158B5">
        <w:rPr>
          <w:rFonts w:ascii="Bookman Old Style" w:hAnsi="Bookman Old Style" w:cs="Arial"/>
          <w:sz w:val="28"/>
          <w:szCs w:val="28"/>
          <w:lang w:val="el-GR"/>
        </w:rPr>
        <w:t>περί Εταιρειών Νόμου</w:t>
      </w:r>
      <w:r>
        <w:rPr>
          <w:rFonts w:ascii="Bookman Old Style" w:hAnsi="Bookman Old Style" w:cs="Arial"/>
          <w:sz w:val="28"/>
          <w:szCs w:val="28"/>
          <w:lang w:val="el-GR"/>
        </w:rPr>
        <w:t>, οι οποίες παρέχουν προσωρινή προστασία αυτοδικαίως από της καταχώρισης της αίτησης, παραγνωρίζοντας τη συνεχή και κατάφωρη παραβίαση της νομοθεσίας και των δικαιωμάτων των Εταιρειών από τον Αντώνη Βασιλείου</w:t>
      </w:r>
      <w:r w:rsidR="005E6C8D">
        <w:rPr>
          <w:rStyle w:val="FootnoteReference"/>
          <w:rFonts w:ascii="Bookman Old Style" w:hAnsi="Bookman Old Style" w:cs="Arial"/>
          <w:sz w:val="28"/>
          <w:szCs w:val="28"/>
          <w:lang w:val="el-GR"/>
        </w:rPr>
        <w:footnoteReference w:id="2"/>
      </w:r>
      <w:r>
        <w:rPr>
          <w:rFonts w:ascii="Bookman Old Style" w:hAnsi="Bookman Old Style" w:cs="Arial"/>
          <w:sz w:val="28"/>
          <w:szCs w:val="28"/>
          <w:lang w:val="el-GR"/>
        </w:rPr>
        <w:t>.</w:t>
      </w:r>
      <w:r w:rsidR="00F23626">
        <w:rPr>
          <w:rFonts w:ascii="Bookman Old Style" w:hAnsi="Bookman Old Style" w:cs="Arial"/>
          <w:sz w:val="28"/>
          <w:szCs w:val="28"/>
          <w:lang w:val="el-GR"/>
        </w:rPr>
        <w:t xml:space="preserve"> </w:t>
      </w:r>
    </w:p>
    <w:p w14:paraId="3CA58445" w14:textId="5B31214D" w:rsidR="00F23626" w:rsidRDefault="00F23626" w:rsidP="003158B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Προκρίνεται</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ακόμη</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ότι η προσβαλλόμενη Απόφαση είναι εκτός του πλαισίου του Νόμου και εκτός της διακριτικής ευχέρειας και της εξουσίας του Δικαστηρίου.</w:t>
      </w:r>
      <w:r w:rsidR="00975A6E">
        <w:rPr>
          <w:rFonts w:ascii="Bookman Old Style" w:hAnsi="Bookman Old Style" w:cs="Arial"/>
          <w:sz w:val="28"/>
          <w:szCs w:val="28"/>
          <w:lang w:val="el-GR"/>
        </w:rPr>
        <w:t xml:space="preserve"> </w:t>
      </w:r>
    </w:p>
    <w:p w14:paraId="219BFA0E" w14:textId="77777777" w:rsidR="003D7F07" w:rsidRDefault="003D7F07" w:rsidP="003158B5">
      <w:pPr>
        <w:spacing w:line="480" w:lineRule="auto"/>
        <w:ind w:right="-35"/>
        <w:jc w:val="both"/>
        <w:rPr>
          <w:rFonts w:ascii="Bookman Old Style" w:hAnsi="Bookman Old Style" w:cs="Arial"/>
          <w:sz w:val="28"/>
          <w:szCs w:val="28"/>
          <w:lang w:val="el-GR"/>
        </w:rPr>
      </w:pPr>
    </w:p>
    <w:p w14:paraId="36772215" w14:textId="0CBDA5D8" w:rsidR="003D7F07" w:rsidRDefault="006A3C06" w:rsidP="005E6C8D">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Ήταν, επίσης, θέση των Αιτητών ότι</w:t>
      </w:r>
      <w:r w:rsidR="003D7F07">
        <w:rPr>
          <w:rFonts w:ascii="Bookman Old Style" w:hAnsi="Bookman Old Style" w:cs="Arial"/>
          <w:sz w:val="28"/>
          <w:szCs w:val="28"/>
          <w:lang w:val="el-GR"/>
        </w:rPr>
        <w:t xml:space="preserve"> με την προσβαλλόμενη απορριπτική της Αίτησης Απόφαση, το Κατώτερο Δικαστήριο κάθε άλλο παρά ενήργησε για την προστασία των Εταιρειών, ως όφειλε, σύμφωνα με σαφείς και ρητές νομοθετικές διατάξεις να πράξει, αφήνοντας ελεύθερο τον Αντώνη Βασιλείου να συνεχίζει να παραβιάζει το Νόμο.</w:t>
      </w:r>
    </w:p>
    <w:p w14:paraId="4F11F2D7" w14:textId="77777777" w:rsidR="005E6C8D" w:rsidRDefault="005E6C8D" w:rsidP="005E6C8D">
      <w:pPr>
        <w:spacing w:line="480" w:lineRule="auto"/>
        <w:ind w:right="-35"/>
        <w:jc w:val="both"/>
        <w:rPr>
          <w:rFonts w:ascii="Bookman Old Style" w:hAnsi="Bookman Old Style" w:cs="Arial"/>
          <w:sz w:val="28"/>
          <w:szCs w:val="28"/>
          <w:lang w:val="el-GR"/>
        </w:rPr>
      </w:pPr>
    </w:p>
    <w:p w14:paraId="36A7812C" w14:textId="76FF9988" w:rsidR="005E6C8D" w:rsidRPr="003B7261" w:rsidRDefault="005E6C8D" w:rsidP="005E6C8D">
      <w:pPr>
        <w:spacing w:line="480" w:lineRule="auto"/>
        <w:jc w:val="both"/>
        <w:rPr>
          <w:rFonts w:ascii="Bookman Old Style" w:hAnsi="Bookman Old Style" w:cs="Arial"/>
          <w:sz w:val="28"/>
          <w:szCs w:val="28"/>
          <w:lang w:val="el-GR"/>
        </w:rPr>
      </w:pPr>
      <w:r w:rsidRPr="003B7261">
        <w:rPr>
          <w:rFonts w:ascii="Bookman Old Style" w:hAnsi="Bookman Old Style" w:cs="Arial"/>
          <w:sz w:val="28"/>
          <w:szCs w:val="28"/>
          <w:lang w:val="el-GR"/>
        </w:rPr>
        <w:t>Ο</w:t>
      </w:r>
      <w:r w:rsidR="009A0E09">
        <w:rPr>
          <w:rFonts w:ascii="Bookman Old Style" w:hAnsi="Bookman Old Style" w:cs="Arial"/>
          <w:sz w:val="28"/>
          <w:szCs w:val="28"/>
          <w:lang w:val="el-GR"/>
        </w:rPr>
        <w:t>ι</w:t>
      </w:r>
      <w:r w:rsidRPr="003B7261">
        <w:rPr>
          <w:rFonts w:ascii="Bookman Old Style" w:hAnsi="Bookman Old Style" w:cs="Arial"/>
          <w:sz w:val="28"/>
          <w:szCs w:val="28"/>
          <w:lang w:val="el-GR"/>
        </w:rPr>
        <w:t xml:space="preserve"> ευπαίδευτο</w:t>
      </w:r>
      <w:r w:rsidR="009A0E09">
        <w:rPr>
          <w:rFonts w:ascii="Bookman Old Style" w:hAnsi="Bookman Old Style" w:cs="Arial"/>
          <w:sz w:val="28"/>
          <w:szCs w:val="28"/>
          <w:lang w:val="el-GR"/>
        </w:rPr>
        <w:t>ι</w:t>
      </w:r>
      <w:r w:rsidRPr="003B7261">
        <w:rPr>
          <w:rFonts w:ascii="Bookman Old Style" w:hAnsi="Bookman Old Style" w:cs="Arial"/>
          <w:sz w:val="28"/>
          <w:szCs w:val="28"/>
          <w:lang w:val="el-GR"/>
        </w:rPr>
        <w:t xml:space="preserve"> συνήγορο</w:t>
      </w:r>
      <w:r w:rsidR="009A0E09">
        <w:rPr>
          <w:rFonts w:ascii="Bookman Old Style" w:hAnsi="Bookman Old Style" w:cs="Arial"/>
          <w:sz w:val="28"/>
          <w:szCs w:val="28"/>
          <w:lang w:val="el-GR"/>
        </w:rPr>
        <w:t>ι</w:t>
      </w:r>
      <w:r w:rsidRPr="003B7261">
        <w:rPr>
          <w:rFonts w:ascii="Bookman Old Style" w:hAnsi="Bookman Old Style" w:cs="Arial"/>
          <w:sz w:val="28"/>
          <w:szCs w:val="28"/>
          <w:lang w:val="el-GR"/>
        </w:rPr>
        <w:t xml:space="preserve"> των Αιτητών προώθησ</w:t>
      </w:r>
      <w:r w:rsidR="009A0E09">
        <w:rPr>
          <w:rFonts w:ascii="Bookman Old Style" w:hAnsi="Bookman Old Style" w:cs="Arial"/>
          <w:sz w:val="28"/>
          <w:szCs w:val="28"/>
          <w:lang w:val="el-GR"/>
        </w:rPr>
        <w:t>αν</w:t>
      </w:r>
      <w:r w:rsidRPr="003B7261">
        <w:rPr>
          <w:rFonts w:ascii="Bookman Old Style" w:hAnsi="Bookman Old Style" w:cs="Arial"/>
          <w:sz w:val="28"/>
          <w:szCs w:val="28"/>
          <w:lang w:val="el-GR"/>
        </w:rPr>
        <w:t xml:space="preserve"> τους προαναφερθέντες λόγους με γραπτή αγόρευση, αλλά και δια ζώσης κατά την επ' ακροατηρίω συζήτηση της Αίτησης.</w:t>
      </w:r>
    </w:p>
    <w:p w14:paraId="4920C030" w14:textId="2B69AC82" w:rsidR="005E6C8D" w:rsidRPr="003B7261" w:rsidRDefault="005E6C8D" w:rsidP="005E6C8D">
      <w:pPr>
        <w:spacing w:line="480" w:lineRule="auto"/>
        <w:jc w:val="both"/>
        <w:rPr>
          <w:rFonts w:ascii="Bookman Old Style" w:hAnsi="Bookman Old Style" w:cs="Arial"/>
          <w:sz w:val="28"/>
          <w:szCs w:val="28"/>
          <w:lang w:val="el-GR"/>
        </w:rPr>
      </w:pPr>
      <w:r w:rsidRPr="003B7261">
        <w:rPr>
          <w:rFonts w:ascii="Bookman Old Style" w:hAnsi="Bookman Old Style" w:cs="Arial"/>
          <w:sz w:val="28"/>
          <w:szCs w:val="28"/>
          <w:lang w:val="el-GR"/>
        </w:rPr>
        <w:t>Έχω διεξέλθει με προσοχή την προσβαλλόμενη Απόφαση του Κατώτερου Δικαστηρίου, καθώς και ό,τι οι Αιτητές, μέσω τ</w:t>
      </w:r>
      <w:r w:rsidR="009A0E09">
        <w:rPr>
          <w:rFonts w:ascii="Bookman Old Style" w:hAnsi="Bookman Old Style" w:cs="Arial"/>
          <w:sz w:val="28"/>
          <w:szCs w:val="28"/>
          <w:lang w:val="el-GR"/>
        </w:rPr>
        <w:t xml:space="preserve">ων </w:t>
      </w:r>
      <w:r w:rsidRPr="003B7261">
        <w:rPr>
          <w:rFonts w:ascii="Bookman Old Style" w:hAnsi="Bookman Old Style" w:cs="Arial"/>
          <w:sz w:val="28"/>
          <w:szCs w:val="28"/>
          <w:lang w:val="el-GR"/>
        </w:rPr>
        <w:t>συνηγόρ</w:t>
      </w:r>
      <w:r w:rsidR="009A0E09">
        <w:rPr>
          <w:rFonts w:ascii="Bookman Old Style" w:hAnsi="Bookman Old Style" w:cs="Arial"/>
          <w:sz w:val="28"/>
          <w:szCs w:val="28"/>
          <w:lang w:val="el-GR"/>
        </w:rPr>
        <w:t>ων</w:t>
      </w:r>
      <w:r w:rsidRPr="003B7261">
        <w:rPr>
          <w:rFonts w:ascii="Bookman Old Style" w:hAnsi="Bookman Old Style" w:cs="Arial"/>
          <w:sz w:val="28"/>
          <w:szCs w:val="28"/>
          <w:lang w:val="el-GR"/>
        </w:rPr>
        <w:t xml:space="preserve"> του</w:t>
      </w:r>
      <w:r w:rsidR="009A0E09">
        <w:rPr>
          <w:rFonts w:ascii="Bookman Old Style" w:hAnsi="Bookman Old Style" w:cs="Arial"/>
          <w:sz w:val="28"/>
          <w:szCs w:val="28"/>
          <w:lang w:val="el-GR"/>
        </w:rPr>
        <w:t>ς</w:t>
      </w:r>
      <w:r w:rsidRPr="003B7261">
        <w:rPr>
          <w:rFonts w:ascii="Bookman Old Style" w:hAnsi="Bookman Old Style" w:cs="Arial"/>
          <w:sz w:val="28"/>
          <w:szCs w:val="28"/>
          <w:lang w:val="el-GR"/>
        </w:rPr>
        <w:t xml:space="preserve">, έχουν θέσει ενώπιον μου. </w:t>
      </w:r>
    </w:p>
    <w:p w14:paraId="101BEA77" w14:textId="77777777" w:rsidR="005E6C8D" w:rsidRPr="003B7261" w:rsidRDefault="005E6C8D" w:rsidP="005E6C8D">
      <w:pPr>
        <w:spacing w:line="480" w:lineRule="auto"/>
        <w:ind w:right="-35"/>
        <w:jc w:val="both"/>
        <w:rPr>
          <w:rFonts w:ascii="Bookman Old Style" w:hAnsi="Bookman Old Style" w:cs="Arial"/>
          <w:sz w:val="28"/>
          <w:szCs w:val="28"/>
          <w:lang w:val="el-GR"/>
        </w:rPr>
      </w:pPr>
    </w:p>
    <w:p w14:paraId="0E520FD3" w14:textId="32D2B569" w:rsidR="006847D1" w:rsidRDefault="006847D1" w:rsidP="006847D1">
      <w:pPr>
        <w:spacing w:line="480" w:lineRule="auto"/>
        <w:jc w:val="both"/>
        <w:rPr>
          <w:rFonts w:ascii="Bookman Old Style" w:hAnsi="Bookman Old Style" w:cs="Arial"/>
          <w:sz w:val="28"/>
          <w:szCs w:val="28"/>
          <w:lang w:val="el-GR"/>
        </w:rPr>
      </w:pPr>
      <w:r w:rsidRPr="006847D1">
        <w:rPr>
          <w:rFonts w:ascii="Bookman Old Style" w:hAnsi="Bookman Old Style" w:cs="Arial"/>
          <w:sz w:val="28"/>
          <w:szCs w:val="28"/>
          <w:lang w:val="el-GR"/>
        </w:rPr>
        <w:t xml:space="preserve">Οι αρχές που διέπουν την έκδοση Προνομιακών Διαταγμάτων είναι παγιωμένες και χιλιοειπωμένες, ώστε να μην χρειάζεται να λεχθούν πολλά υπό το φως της πλούσιας νομολογίας του Ανωτάτου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sidRPr="006847D1">
        <w:rPr>
          <w:rFonts w:ascii="Bookman Old Style" w:hAnsi="Bookman Old Style" w:cs="Arial"/>
          <w:b/>
          <w:bCs/>
          <w:i/>
          <w:iCs/>
          <w:sz w:val="28"/>
          <w:szCs w:val="28"/>
          <w:lang w:val="el-GR"/>
        </w:rPr>
        <w:t>Αίτηση του Κωνσταντινίδη</w:t>
      </w:r>
      <w:r w:rsidR="00D028B7">
        <w:rPr>
          <w:rFonts w:ascii="Bookman Old Style" w:hAnsi="Bookman Old Style" w:cs="Arial"/>
          <w:b/>
          <w:bCs/>
          <w:i/>
          <w:iCs/>
          <w:sz w:val="28"/>
          <w:szCs w:val="28"/>
          <w:lang w:val="el-GR"/>
        </w:rPr>
        <w:t xml:space="preserve"> (2003) 1 Α.Α.Δ. 1298 </w:t>
      </w:r>
      <w:r w:rsidRPr="006847D1">
        <w:rPr>
          <w:rFonts w:ascii="Bookman Old Style" w:hAnsi="Bookman Old Style" w:cs="Arial"/>
          <w:sz w:val="28"/>
          <w:szCs w:val="28"/>
          <w:lang w:val="el-GR"/>
        </w:rPr>
        <w:t xml:space="preserve">και </w:t>
      </w:r>
      <w:r w:rsidRPr="006847D1">
        <w:rPr>
          <w:rFonts w:ascii="Bookman Old Style" w:hAnsi="Bookman Old Style" w:cs="Arial"/>
          <w:b/>
          <w:bCs/>
          <w:i/>
          <w:iCs/>
          <w:sz w:val="28"/>
          <w:szCs w:val="28"/>
        </w:rPr>
        <w:t>Perrella</w:t>
      </w:r>
      <w:r w:rsidRPr="00821E50">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lang w:val="el-GR"/>
        </w:rPr>
        <w:t>(Αρ. 2)</w:t>
      </w:r>
      <w:r w:rsidR="00D028B7">
        <w:rPr>
          <w:rFonts w:ascii="Bookman Old Style" w:hAnsi="Bookman Old Style" w:cs="Arial"/>
          <w:b/>
          <w:bCs/>
          <w:i/>
          <w:iCs/>
          <w:sz w:val="28"/>
          <w:szCs w:val="28"/>
          <w:lang w:val="el-GR"/>
        </w:rPr>
        <w:t xml:space="preserve"> (1995)                     1 Α.Α.Δ. 692</w:t>
      </w:r>
      <w:r w:rsidRPr="00821E50">
        <w:rPr>
          <w:rFonts w:ascii="Bookman Old Style" w:hAnsi="Bookman Old Style"/>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sidRPr="006847D1">
        <w:rPr>
          <w:rFonts w:ascii="Bookman Old Style" w:hAnsi="Bookman Old Style" w:cs="Arial"/>
          <w:b/>
          <w:bCs/>
          <w:i/>
          <w:iCs/>
          <w:sz w:val="28"/>
          <w:szCs w:val="28"/>
        </w:rPr>
        <w:t>Base</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Metal</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Trading</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Ltd</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v</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Fastact</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Developments</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rPr>
        <w:t>Ltd</w:t>
      </w:r>
      <w:r w:rsidRPr="00F6612B">
        <w:rPr>
          <w:rFonts w:ascii="Bookman Old Style" w:hAnsi="Bookman Old Style" w:cs="Arial"/>
          <w:b/>
          <w:bCs/>
          <w:i/>
          <w:iCs/>
          <w:sz w:val="28"/>
          <w:szCs w:val="28"/>
          <w:lang w:val="el-GR"/>
        </w:rPr>
        <w:t xml:space="preserve"> </w:t>
      </w:r>
      <w:r w:rsidRPr="006847D1">
        <w:rPr>
          <w:rFonts w:ascii="Bookman Old Style" w:hAnsi="Bookman Old Style" w:cs="Arial"/>
          <w:b/>
          <w:bCs/>
          <w:i/>
          <w:iCs/>
          <w:sz w:val="28"/>
          <w:szCs w:val="28"/>
          <w:lang w:val="el-GR"/>
        </w:rPr>
        <w:t>κ</w:t>
      </w:r>
      <w:r w:rsidRPr="00F6612B">
        <w:rPr>
          <w:rFonts w:ascii="Bookman Old Style" w:hAnsi="Bookman Old Style" w:cs="Arial"/>
          <w:b/>
          <w:bCs/>
          <w:i/>
          <w:iCs/>
          <w:sz w:val="28"/>
          <w:szCs w:val="28"/>
          <w:lang w:val="el-GR"/>
        </w:rPr>
        <w:t>.</w:t>
      </w:r>
      <w:r w:rsidRPr="006847D1">
        <w:rPr>
          <w:rFonts w:ascii="Bookman Old Style" w:hAnsi="Bookman Old Style" w:cs="Arial"/>
          <w:b/>
          <w:bCs/>
          <w:i/>
          <w:iCs/>
          <w:sz w:val="28"/>
          <w:szCs w:val="28"/>
          <w:lang w:val="el-GR"/>
        </w:rPr>
        <w:t>ά</w:t>
      </w:r>
      <w:r w:rsidRPr="00F6612B">
        <w:rPr>
          <w:rFonts w:ascii="Bookman Old Style" w:hAnsi="Bookman Old Style" w:cs="Arial"/>
          <w:b/>
          <w:bCs/>
          <w:i/>
          <w:iCs/>
          <w:sz w:val="28"/>
          <w:szCs w:val="28"/>
          <w:lang w:val="el-GR"/>
        </w:rPr>
        <w:t>.</w:t>
      </w:r>
      <w:r w:rsidR="00F6612B" w:rsidRPr="00F6612B">
        <w:rPr>
          <w:rFonts w:ascii="Bookman Old Style" w:hAnsi="Bookman Old Style" w:cs="Arial"/>
          <w:b/>
          <w:bCs/>
          <w:i/>
          <w:iCs/>
          <w:sz w:val="28"/>
          <w:szCs w:val="28"/>
          <w:lang w:val="el-GR"/>
        </w:rPr>
        <w:t xml:space="preserve"> (2004) 1 </w:t>
      </w:r>
      <w:r w:rsidR="00F6612B">
        <w:rPr>
          <w:rFonts w:ascii="Bookman Old Style" w:hAnsi="Bookman Old Style" w:cs="Arial"/>
          <w:b/>
          <w:bCs/>
          <w:i/>
          <w:iCs/>
          <w:sz w:val="28"/>
          <w:szCs w:val="28"/>
          <w:lang w:val="el-GR"/>
        </w:rPr>
        <w:t>Α</w:t>
      </w:r>
      <w:r w:rsidR="00F6612B" w:rsidRPr="00F6612B">
        <w:rPr>
          <w:rFonts w:ascii="Bookman Old Style" w:hAnsi="Bookman Old Style" w:cs="Arial"/>
          <w:b/>
          <w:bCs/>
          <w:i/>
          <w:iCs/>
          <w:sz w:val="28"/>
          <w:szCs w:val="28"/>
          <w:lang w:val="el-GR"/>
        </w:rPr>
        <w:t>.</w:t>
      </w:r>
      <w:r w:rsidR="00F6612B">
        <w:rPr>
          <w:rFonts w:ascii="Bookman Old Style" w:hAnsi="Bookman Old Style" w:cs="Arial"/>
          <w:b/>
          <w:bCs/>
          <w:i/>
          <w:iCs/>
          <w:sz w:val="28"/>
          <w:szCs w:val="28"/>
          <w:lang w:val="el-GR"/>
        </w:rPr>
        <w:t>Α</w:t>
      </w:r>
      <w:r w:rsidR="00F6612B" w:rsidRPr="00F6612B">
        <w:rPr>
          <w:rFonts w:ascii="Bookman Old Style" w:hAnsi="Bookman Old Style" w:cs="Arial"/>
          <w:b/>
          <w:bCs/>
          <w:i/>
          <w:iCs/>
          <w:sz w:val="28"/>
          <w:szCs w:val="28"/>
          <w:lang w:val="el-GR"/>
        </w:rPr>
        <w:t>.</w:t>
      </w:r>
      <w:r w:rsidR="00F6612B">
        <w:rPr>
          <w:rFonts w:ascii="Bookman Old Style" w:hAnsi="Bookman Old Style" w:cs="Arial"/>
          <w:b/>
          <w:bCs/>
          <w:i/>
          <w:iCs/>
          <w:sz w:val="28"/>
          <w:szCs w:val="28"/>
          <w:lang w:val="el-GR"/>
        </w:rPr>
        <w:t>Δ</w:t>
      </w:r>
      <w:r w:rsidR="00F6612B" w:rsidRPr="00F6612B">
        <w:rPr>
          <w:rFonts w:ascii="Bookman Old Style" w:hAnsi="Bookman Old Style" w:cs="Arial"/>
          <w:b/>
          <w:bCs/>
          <w:i/>
          <w:iCs/>
          <w:sz w:val="28"/>
          <w:szCs w:val="28"/>
          <w:lang w:val="el-GR"/>
        </w:rPr>
        <w:t xml:space="preserve">. </w:t>
      </w:r>
      <w:r w:rsidR="00F6612B">
        <w:rPr>
          <w:rFonts w:ascii="Bookman Old Style" w:hAnsi="Bookman Old Style" w:cs="Arial"/>
          <w:b/>
          <w:bCs/>
          <w:i/>
          <w:iCs/>
          <w:sz w:val="28"/>
          <w:szCs w:val="28"/>
          <w:lang w:val="el-GR"/>
        </w:rPr>
        <w:t>1535</w:t>
      </w:r>
      <w:r w:rsidRPr="00F6612B">
        <w:rPr>
          <w:rFonts w:ascii="Bookman Old Style" w:hAnsi="Bookman Old Style" w:cs="Arial"/>
          <w:b/>
          <w:bCs/>
          <w:i/>
          <w:iCs/>
          <w:sz w:val="28"/>
          <w:szCs w:val="28"/>
          <w:lang w:val="el-GR"/>
        </w:rPr>
        <w:t xml:space="preserve"> </w:t>
      </w:r>
      <w:r w:rsidRPr="006847D1">
        <w:rPr>
          <w:rFonts w:ascii="Bookman Old Style" w:hAnsi="Bookman Old Style" w:cs="Arial"/>
          <w:sz w:val="28"/>
          <w:szCs w:val="28"/>
          <w:lang w:val="el-GR"/>
        </w:rPr>
        <w:t xml:space="preserve">και </w:t>
      </w:r>
      <w:r w:rsidRPr="006847D1">
        <w:rPr>
          <w:rFonts w:ascii="Bookman Old Style" w:hAnsi="Bookman Old Style" w:cs="Arial"/>
          <w:b/>
          <w:bCs/>
          <w:i/>
          <w:iCs/>
          <w:sz w:val="28"/>
          <w:szCs w:val="28"/>
          <w:lang w:val="el-GR"/>
        </w:rPr>
        <w:t>Τράπεζα Κύπρου Δημόσια Εταιρεία Λτδ κ.ά.</w:t>
      </w:r>
      <w:r w:rsidR="00F6612B">
        <w:rPr>
          <w:rFonts w:ascii="Bookman Old Style" w:hAnsi="Bookman Old Style" w:cs="Arial"/>
          <w:b/>
          <w:bCs/>
          <w:i/>
          <w:iCs/>
          <w:sz w:val="28"/>
          <w:szCs w:val="28"/>
          <w:lang w:val="el-GR"/>
        </w:rPr>
        <w:t xml:space="preserve"> (2012) 1 Α.Α.Δ. 878</w:t>
      </w:r>
      <w:r w:rsidRPr="006847D1">
        <w:rPr>
          <w:rFonts w:ascii="Bookman Old Style" w:hAnsi="Bookman Old Style" w:cs="Arial"/>
          <w:sz w:val="28"/>
          <w:szCs w:val="28"/>
          <w:lang w:val="el-GR"/>
        </w:rPr>
        <w:t>).</w:t>
      </w:r>
    </w:p>
    <w:p w14:paraId="1EA3B6A3" w14:textId="77777777" w:rsidR="00802DDD" w:rsidRPr="000F7844" w:rsidRDefault="00802DDD" w:rsidP="006847D1">
      <w:pPr>
        <w:spacing w:line="480" w:lineRule="auto"/>
        <w:jc w:val="both"/>
        <w:rPr>
          <w:rFonts w:ascii="Bookman Old Style" w:hAnsi="Bookman Old Style"/>
          <w:sz w:val="28"/>
          <w:szCs w:val="28"/>
          <w:lang w:val="el-GR"/>
        </w:rPr>
      </w:pPr>
    </w:p>
    <w:p w14:paraId="14062715" w14:textId="3E1D1D02" w:rsidR="006847D1" w:rsidRDefault="006847D1" w:rsidP="00144069">
      <w:pPr>
        <w:spacing w:line="480" w:lineRule="auto"/>
        <w:jc w:val="both"/>
        <w:rPr>
          <w:rFonts w:ascii="Bookman Old Style" w:hAnsi="Bookman Old Style" w:cs="Arial"/>
          <w:sz w:val="28"/>
          <w:szCs w:val="28"/>
          <w:lang w:val="el-GR"/>
        </w:rPr>
      </w:pPr>
      <w:r w:rsidRPr="006847D1">
        <w:rPr>
          <w:rFonts w:ascii="Bookman Old Style" w:hAnsi="Bookman Old Style" w:cs="Arial"/>
          <w:sz w:val="28"/>
          <w:szCs w:val="28"/>
          <w:lang w:val="el-GR"/>
        </w:rPr>
        <w:t>Έχει πλειστάκις αναφερθεί στη νομολογία ότι είναι στους ώμους του Αιτητή το βάρος να καταδείξει συζητήσιμη υπόθεση. Ενδιαφέρει η νομιμότητα των ελεγχόμενων ενεργειών, αφού δεν μπορεί αντικείμενο της παρούσας διαδικασίας να είναι η ορθότητα, ούτε ο τρόπος άσκησης της διακριτικής ευχέρειας του Δικαστηρίου.</w:t>
      </w:r>
    </w:p>
    <w:p w14:paraId="5A04226D" w14:textId="77777777" w:rsidR="00186D6E" w:rsidRDefault="00186D6E" w:rsidP="00144069">
      <w:pPr>
        <w:spacing w:line="480" w:lineRule="auto"/>
        <w:jc w:val="both"/>
        <w:rPr>
          <w:rFonts w:ascii="Bookman Old Style" w:hAnsi="Bookman Old Style" w:cs="Arial"/>
          <w:sz w:val="28"/>
          <w:szCs w:val="28"/>
          <w:lang w:val="el-GR"/>
        </w:rPr>
      </w:pPr>
    </w:p>
    <w:p w14:paraId="59B96576" w14:textId="0280CCDD" w:rsidR="002E3336" w:rsidRDefault="002E3336" w:rsidP="002E3336">
      <w:pPr>
        <w:spacing w:line="480" w:lineRule="auto"/>
        <w:jc w:val="both"/>
        <w:rPr>
          <w:rFonts w:ascii="Bookman Old Style" w:hAnsi="Bookman Old Style"/>
          <w:sz w:val="28"/>
          <w:szCs w:val="28"/>
          <w:lang w:val="el-GR"/>
        </w:rPr>
      </w:pPr>
      <w:r w:rsidRPr="002E3336">
        <w:rPr>
          <w:rFonts w:ascii="Bookman Old Style" w:hAnsi="Bookman Old Style"/>
          <w:sz w:val="28"/>
          <w:szCs w:val="28"/>
          <w:lang w:val="el-GR"/>
        </w:rPr>
        <w:t xml:space="preserve">Όπως τονίσθηκε στην υπόθεση </w:t>
      </w:r>
      <w:r w:rsidRPr="002E3336">
        <w:rPr>
          <w:rFonts w:ascii="Bookman Old Style" w:hAnsi="Bookman Old Style"/>
          <w:b/>
          <w:bCs/>
          <w:i/>
          <w:iCs/>
          <w:sz w:val="28"/>
          <w:szCs w:val="28"/>
          <w:lang w:val="el-GR"/>
        </w:rPr>
        <w:t xml:space="preserve">Αναφορικά με </w:t>
      </w:r>
      <w:r w:rsidR="009A0E09">
        <w:rPr>
          <w:rFonts w:ascii="Bookman Old Style" w:hAnsi="Bookman Old Style"/>
          <w:b/>
          <w:bCs/>
          <w:i/>
          <w:iCs/>
          <w:sz w:val="28"/>
          <w:szCs w:val="28"/>
          <w:lang w:val="el-GR"/>
        </w:rPr>
        <w:t>την Α</w:t>
      </w:r>
      <w:r w:rsidRPr="002E3336">
        <w:rPr>
          <w:rFonts w:ascii="Bookman Old Style" w:hAnsi="Bookman Old Style"/>
          <w:b/>
          <w:bCs/>
          <w:i/>
          <w:iCs/>
          <w:sz w:val="28"/>
          <w:szCs w:val="28"/>
          <w:lang w:val="el-GR"/>
        </w:rPr>
        <w:t>ίτηση του Γενικού Εισαγγελέα της Δημοκρατίας (Αρ. 2) (1997) 1Β Α.Α.Δ. 925, 935</w:t>
      </w:r>
      <w:r w:rsidRPr="002E3336">
        <w:rPr>
          <w:rFonts w:ascii="Bookman Old Style" w:hAnsi="Bookman Old Style"/>
          <w:sz w:val="28"/>
          <w:szCs w:val="28"/>
          <w:lang w:val="el-GR"/>
        </w:rPr>
        <w:t>:-</w:t>
      </w:r>
    </w:p>
    <w:p w14:paraId="3876531C" w14:textId="77777777" w:rsidR="002E3336" w:rsidRPr="002E3336" w:rsidRDefault="002E3336" w:rsidP="002E3336">
      <w:pPr>
        <w:jc w:val="both"/>
        <w:rPr>
          <w:lang w:val="el-GR"/>
        </w:rPr>
      </w:pPr>
      <w:r>
        <w:t> </w:t>
      </w:r>
    </w:p>
    <w:p w14:paraId="2E5F1A96" w14:textId="77777777" w:rsidR="002E3336" w:rsidRDefault="002E3336" w:rsidP="002E3336">
      <w:pPr>
        <w:tabs>
          <w:tab w:val="left" w:pos="6521"/>
        </w:tabs>
        <w:spacing w:line="276" w:lineRule="auto"/>
        <w:ind w:left="426" w:right="390"/>
        <w:jc w:val="both"/>
        <w:rPr>
          <w:rFonts w:ascii="Bookman Old Style" w:hAnsi="Bookman Old Style"/>
          <w:sz w:val="26"/>
          <w:szCs w:val="26"/>
          <w:lang w:val="el-GR"/>
        </w:rPr>
      </w:pPr>
      <w:r w:rsidRPr="002E3336">
        <w:rPr>
          <w:rFonts w:ascii="Bookman Old Style" w:hAnsi="Bookman Old Style"/>
          <w:sz w:val="26"/>
          <w:szCs w:val="26"/>
          <w:lang w:val="el-GR"/>
        </w:rPr>
        <w:t>«</w:t>
      </w:r>
      <w:r w:rsidRPr="002E3336">
        <w:rPr>
          <w:rFonts w:ascii="Bookman Old Style" w:hAnsi="Bookman Old Style"/>
          <w:i/>
          <w:iCs/>
          <w:sz w:val="26"/>
          <w:szCs w:val="26"/>
          <w:lang w:val="el-GR"/>
        </w:rPr>
        <w:t xml:space="preserve">Αντικείμενο της διαδικασίας δεν είναι ο έλεγχος της ορθότητας μιας απόφασης αλλά της νομιμότητας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Ανωτάτου Δικαστηρίου. Δεν εκδίδεται ένταλμα </w:t>
      </w:r>
      <w:r w:rsidRPr="002E3336">
        <w:rPr>
          <w:rFonts w:ascii="Bookman Old Style" w:hAnsi="Bookman Old Style"/>
          <w:i/>
          <w:iCs/>
          <w:sz w:val="26"/>
          <w:szCs w:val="26"/>
          <w:lang w:val="en-US"/>
        </w:rPr>
        <w:t>Certiorari</w:t>
      </w:r>
      <w:r w:rsidRPr="002E3336">
        <w:rPr>
          <w:rFonts w:ascii="Bookman Old Style" w:hAnsi="Bookman Old Style"/>
          <w:i/>
          <w:iCs/>
          <w:sz w:val="26"/>
          <w:szCs w:val="26"/>
          <w:lang w:val="el-GR"/>
        </w:rPr>
        <w:t xml:space="preserve"> ως μανδύας μεταμφιεσμένης έφεσης. Ούτε και μπορεί να χρησιμοποιείται η διαδικασία για την έκδοση τέτοιου διατάγματος προκειμένου να γίνει επανακρόαση του ζητήματος που εγέρθηκε. Και δεν είναι επιτρεπτό να εκδίδεται ένταλμα </w:t>
      </w:r>
      <w:r w:rsidRPr="002E3336">
        <w:rPr>
          <w:rFonts w:ascii="Bookman Old Style" w:hAnsi="Bookman Old Style"/>
          <w:i/>
          <w:iCs/>
          <w:sz w:val="26"/>
          <w:szCs w:val="26"/>
          <w:lang w:val="en-US"/>
        </w:rPr>
        <w:t>Certiorari</w:t>
      </w:r>
      <w:r w:rsidRPr="002E3336">
        <w:rPr>
          <w:rFonts w:ascii="Bookman Old Style" w:hAnsi="Bookman Old Style"/>
          <w:i/>
          <w:iCs/>
          <w:sz w:val="26"/>
          <w:szCs w:val="26"/>
          <w:lang w:val="el-GR"/>
        </w:rPr>
        <w:t xml:space="preserve"> προκειμένου να υπαγορευθεί σε Δικαστήριο ο τρόπος με τον οποίο θα </w:t>
      </w:r>
      <w:r w:rsidRPr="002E3336">
        <w:rPr>
          <w:rFonts w:ascii="Bookman Old Style" w:hAnsi="Bookman Old Style"/>
          <w:b/>
          <w:bCs/>
          <w:i/>
          <w:iCs/>
          <w:sz w:val="26"/>
          <w:szCs w:val="26"/>
          <w:lang w:val="el-GR"/>
        </w:rPr>
        <w:t xml:space="preserve">πρέπει </w:t>
      </w:r>
      <w:r w:rsidRPr="002E3336">
        <w:rPr>
          <w:rFonts w:ascii="Bookman Old Style" w:hAnsi="Bookman Old Style"/>
          <w:i/>
          <w:iCs/>
          <w:sz w:val="26"/>
          <w:szCs w:val="26"/>
          <w:lang w:val="el-GR"/>
        </w:rPr>
        <w:t xml:space="preserve">να αποφασιστεί ζήτημα που εμπίπτει στη δικαιοδοσία του ή ακόμα ο τρόπος που θα ασκήσει τη διακριτική του εξουσία. (Βλέπε </w:t>
      </w:r>
      <w:r w:rsidRPr="002E3336">
        <w:rPr>
          <w:rFonts w:ascii="Bookman Old Style" w:hAnsi="Bookman Old Style"/>
          <w:b/>
          <w:bCs/>
          <w:i/>
          <w:iCs/>
          <w:sz w:val="26"/>
          <w:szCs w:val="26"/>
          <w:lang w:val="en-US"/>
        </w:rPr>
        <w:t>Re</w:t>
      </w:r>
      <w:r w:rsidRPr="002E3336">
        <w:rPr>
          <w:rFonts w:ascii="Bookman Old Style" w:hAnsi="Bookman Old Style"/>
          <w:b/>
          <w:bCs/>
          <w:i/>
          <w:iCs/>
          <w:sz w:val="26"/>
          <w:szCs w:val="26"/>
          <w:lang w:val="el-GR"/>
        </w:rPr>
        <w:t xml:space="preserve"> </w:t>
      </w:r>
      <w:r w:rsidRPr="002E3336">
        <w:rPr>
          <w:rFonts w:ascii="Bookman Old Style" w:hAnsi="Bookman Old Style"/>
          <w:b/>
          <w:bCs/>
          <w:i/>
          <w:iCs/>
          <w:sz w:val="26"/>
          <w:szCs w:val="26"/>
          <w:lang w:val="en-US"/>
        </w:rPr>
        <w:t>Mareware</w:t>
      </w:r>
      <w:r w:rsidRPr="002E3336">
        <w:rPr>
          <w:rFonts w:ascii="Bookman Old Style" w:hAnsi="Bookman Old Style"/>
          <w:b/>
          <w:bCs/>
          <w:i/>
          <w:iCs/>
          <w:sz w:val="26"/>
          <w:szCs w:val="26"/>
          <w:lang w:val="el-GR"/>
        </w:rPr>
        <w:t xml:space="preserve"> </w:t>
      </w:r>
      <w:r w:rsidRPr="002E3336">
        <w:rPr>
          <w:rFonts w:ascii="Bookman Old Style" w:hAnsi="Bookman Old Style"/>
          <w:b/>
          <w:bCs/>
          <w:i/>
          <w:iCs/>
          <w:sz w:val="26"/>
          <w:szCs w:val="26"/>
          <w:lang w:val="en-US"/>
        </w:rPr>
        <w:t>Shipping</w:t>
      </w:r>
      <w:r w:rsidRPr="002E3336">
        <w:rPr>
          <w:rFonts w:ascii="Bookman Old Style" w:hAnsi="Bookman Old Style"/>
          <w:b/>
          <w:bCs/>
          <w:i/>
          <w:iCs/>
          <w:sz w:val="26"/>
          <w:szCs w:val="26"/>
          <w:lang w:val="el-GR"/>
        </w:rPr>
        <w:t xml:space="preserve">, </w:t>
      </w:r>
      <w:r w:rsidRPr="002E3336">
        <w:rPr>
          <w:rFonts w:ascii="Bookman Old Style" w:hAnsi="Bookman Old Style"/>
          <w:i/>
          <w:iCs/>
          <w:sz w:val="26"/>
          <w:szCs w:val="26"/>
          <w:lang w:val="el-GR"/>
        </w:rPr>
        <w:t xml:space="preserve">Αίτηση 6/92 / 24.1.92 και </w:t>
      </w:r>
      <w:r w:rsidRPr="002E3336">
        <w:rPr>
          <w:rFonts w:ascii="Bookman Old Style" w:hAnsi="Bookman Old Style"/>
          <w:b/>
          <w:bCs/>
          <w:i/>
          <w:iCs/>
          <w:sz w:val="26"/>
          <w:szCs w:val="26"/>
          <w:lang w:val="el-GR"/>
        </w:rPr>
        <w:t xml:space="preserve">Τζεννάρο Περέλλα, </w:t>
      </w:r>
      <w:r w:rsidRPr="002E3336">
        <w:rPr>
          <w:rFonts w:ascii="Bookman Old Style" w:hAnsi="Bookman Old Style"/>
          <w:i/>
          <w:iCs/>
          <w:sz w:val="26"/>
          <w:szCs w:val="26"/>
          <w:lang w:val="el-GR"/>
        </w:rPr>
        <w:t>Πολιτική 'Εφεση 9169/18.7.95)</w:t>
      </w:r>
      <w:r w:rsidRPr="002E3336">
        <w:rPr>
          <w:rFonts w:ascii="Bookman Old Style" w:hAnsi="Bookman Old Style"/>
          <w:sz w:val="26"/>
          <w:szCs w:val="26"/>
          <w:lang w:val="el-GR"/>
        </w:rPr>
        <w:t>.»</w:t>
      </w:r>
    </w:p>
    <w:p w14:paraId="1A5D954D" w14:textId="77777777" w:rsidR="00AC2FD6" w:rsidRDefault="00AC2FD6" w:rsidP="002E3336">
      <w:pPr>
        <w:tabs>
          <w:tab w:val="left" w:pos="6521"/>
        </w:tabs>
        <w:spacing w:line="276" w:lineRule="auto"/>
        <w:ind w:left="426" w:right="390"/>
        <w:jc w:val="both"/>
        <w:rPr>
          <w:rFonts w:ascii="Bookman Old Style" w:hAnsi="Bookman Old Style"/>
          <w:sz w:val="26"/>
          <w:szCs w:val="26"/>
          <w:lang w:val="el-GR"/>
        </w:rPr>
      </w:pPr>
    </w:p>
    <w:p w14:paraId="03BF9912" w14:textId="77777777" w:rsidR="00AC2FD6" w:rsidRDefault="00AC2FD6" w:rsidP="002E3336">
      <w:pPr>
        <w:tabs>
          <w:tab w:val="left" w:pos="6521"/>
        </w:tabs>
        <w:spacing w:line="276" w:lineRule="auto"/>
        <w:ind w:left="426" w:right="390"/>
        <w:jc w:val="both"/>
        <w:rPr>
          <w:rFonts w:ascii="Bookman Old Style" w:hAnsi="Bookman Old Style"/>
          <w:sz w:val="26"/>
          <w:szCs w:val="26"/>
          <w:lang w:val="el-GR"/>
        </w:rPr>
      </w:pPr>
    </w:p>
    <w:p w14:paraId="459AD536" w14:textId="77777777" w:rsidR="00AC2FD6" w:rsidRDefault="00AC2FD6" w:rsidP="002E3336">
      <w:pPr>
        <w:tabs>
          <w:tab w:val="left" w:pos="6521"/>
        </w:tabs>
        <w:spacing w:line="276" w:lineRule="auto"/>
        <w:ind w:left="426" w:right="390"/>
        <w:jc w:val="both"/>
        <w:rPr>
          <w:rFonts w:ascii="Bookman Old Style" w:hAnsi="Bookman Old Style"/>
          <w:sz w:val="26"/>
          <w:szCs w:val="26"/>
          <w:lang w:val="el-GR"/>
        </w:rPr>
      </w:pPr>
    </w:p>
    <w:p w14:paraId="161AD2D6" w14:textId="77777777" w:rsidR="007A3B06" w:rsidRDefault="00144069"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Κατώτερο Δικαστήριο εξετάζοντας την Αίτηση</w:t>
      </w:r>
      <w:r w:rsidR="000F7844" w:rsidRPr="000F7844">
        <w:rPr>
          <w:rFonts w:ascii="Bookman Old Style" w:hAnsi="Bookman Old Style" w:cs="Arial"/>
          <w:sz w:val="28"/>
          <w:szCs w:val="28"/>
          <w:lang w:val="el-GR"/>
        </w:rPr>
        <w:t xml:space="preserve"> </w:t>
      </w:r>
      <w:r w:rsidR="000F7844">
        <w:rPr>
          <w:rFonts w:ascii="Bookman Old Style" w:hAnsi="Bookman Old Style" w:cs="Arial"/>
          <w:sz w:val="28"/>
          <w:szCs w:val="28"/>
          <w:lang w:val="el-GR"/>
        </w:rPr>
        <w:t>και, με δεδομένο ότι αυτή είχε καταχωρηθεί μονομερώς,</w:t>
      </w:r>
      <w:r>
        <w:rPr>
          <w:rFonts w:ascii="Bookman Old Style" w:hAnsi="Bookman Old Style" w:cs="Arial"/>
          <w:sz w:val="28"/>
          <w:szCs w:val="28"/>
          <w:lang w:val="el-GR"/>
        </w:rPr>
        <w:t xml:space="preserve"> έκρινε ότι δεν συνέτρεχε το στοιχείο του κατεπείγοντος λόγω της ύπαρξης καθυστέρησης και ολιγωρίας από πλευράς των Αιτητών, η οποία δεν αιτιολογήθηκε.</w:t>
      </w:r>
      <w:r w:rsidR="009A0E09">
        <w:rPr>
          <w:rFonts w:ascii="Bookman Old Style" w:hAnsi="Bookman Old Style" w:cs="Arial"/>
          <w:sz w:val="28"/>
          <w:szCs w:val="28"/>
          <w:lang w:val="el-GR"/>
        </w:rPr>
        <w:t xml:space="preserve"> Όπως επεσήμανε στην Απόφαση του το Κατώτερο Δικαστήριο, παρά το γεγονός ότι από την ημερομηνία του διορισμού του Παραλήπτη/Διαχειριστή στις 16/11/2023 αυτός, κατά τη θέση των Αιτητών, δημιουργούσε προβλήματα στη λειτουργία των επιχειρήσεων των Εταιρειών και εμπόδιζε τους Διοικητικούς Συμβούλους να μεταβούν στα γραφεία τους και τους υπαλλήλους στην εργασία τους, παρήλθε περίοδος ενός και πλέον μηνός για να καταχωριστεί η υπό κρίση Αίτηση για ενδιάμεση θεραπεία, χωρίς να δίδεται οποιαδήποτε εξήγηση γιατί αυτό δεν έγινε σε προγενέστερο χρονικό στάδιο.</w:t>
      </w:r>
      <w:r w:rsidR="007A3B06">
        <w:rPr>
          <w:rFonts w:ascii="Bookman Old Style" w:hAnsi="Bookman Old Style" w:cs="Arial"/>
          <w:sz w:val="28"/>
          <w:szCs w:val="28"/>
          <w:lang w:val="el-GR"/>
        </w:rPr>
        <w:t xml:space="preserve"> Καταλήγοντας δε το Κατώτερο Δικαστήριο ανέφερε και τα εξής:</w:t>
      </w:r>
    </w:p>
    <w:p w14:paraId="787888F1" w14:textId="77777777" w:rsidR="007A3B06" w:rsidRDefault="007A3B06" w:rsidP="00144069">
      <w:pPr>
        <w:spacing w:line="480" w:lineRule="auto"/>
        <w:ind w:right="-35"/>
        <w:jc w:val="both"/>
        <w:rPr>
          <w:rFonts w:ascii="Bookman Old Style" w:hAnsi="Bookman Old Style" w:cs="Arial"/>
          <w:sz w:val="28"/>
          <w:szCs w:val="28"/>
          <w:lang w:val="el-GR"/>
        </w:rPr>
      </w:pPr>
    </w:p>
    <w:p w14:paraId="1793AD35" w14:textId="2B7A5A6B" w:rsidR="001C757D" w:rsidRDefault="001C757D" w:rsidP="001C757D">
      <w:pPr>
        <w:tabs>
          <w:tab w:val="left" w:pos="6521"/>
        </w:tabs>
        <w:spacing w:line="276" w:lineRule="auto"/>
        <w:ind w:left="426" w:right="390"/>
        <w:jc w:val="both"/>
        <w:rPr>
          <w:rFonts w:ascii="Bookman Old Style" w:hAnsi="Bookman Old Style"/>
          <w:i/>
          <w:iCs/>
          <w:sz w:val="26"/>
          <w:szCs w:val="26"/>
          <w:lang w:val="el-GR"/>
        </w:rPr>
      </w:pPr>
      <w:r w:rsidRPr="002E3336">
        <w:rPr>
          <w:rFonts w:ascii="Bookman Old Style" w:hAnsi="Bookman Old Style"/>
          <w:sz w:val="26"/>
          <w:szCs w:val="26"/>
          <w:lang w:val="el-GR"/>
        </w:rPr>
        <w:t>«</w:t>
      </w:r>
      <w:r w:rsidRPr="002E3336">
        <w:rPr>
          <w:rFonts w:ascii="Bookman Old Style" w:hAnsi="Bookman Old Style"/>
          <w:i/>
          <w:iCs/>
          <w:sz w:val="26"/>
          <w:szCs w:val="26"/>
          <w:lang w:val="el-GR"/>
        </w:rPr>
        <w:t>Α</w:t>
      </w:r>
      <w:r>
        <w:rPr>
          <w:rFonts w:ascii="Bookman Old Style" w:hAnsi="Bookman Old Style"/>
          <w:i/>
          <w:iCs/>
          <w:sz w:val="26"/>
          <w:szCs w:val="26"/>
          <w:lang w:val="el-GR"/>
        </w:rPr>
        <w:t xml:space="preserve">πό τα γεγονότα που έχουν εκτεθεί, δεν προκύπτει οτιδήποτε που να αναδεικνύει επείγουσα ανάγκη έκδοσης του αιτουμένου διατάγματος προς αποτροπή επικίνδυνης κατάστασης που να έχει δημιουργηθεί και με την οποίαν συναρτάται άμεσα η εν λόγω επιδιωκόμενη </w:t>
      </w:r>
      <w:r w:rsidR="00616F8E">
        <w:rPr>
          <w:rFonts w:ascii="Bookman Old Style" w:hAnsi="Bookman Old Style"/>
          <w:i/>
          <w:iCs/>
          <w:sz w:val="26"/>
          <w:szCs w:val="26"/>
          <w:lang w:val="el-GR"/>
        </w:rPr>
        <w:t>θεραπεία. Η Γενική Αίτηση μπορεί να εκδικαστεί τάχιστα και στα πλαίσια σύντομης εκδίκασης της μέσα από εξέταση των θέσεων των διαδίκων, δεν αποκλείεται, αν τούτο κριθεί αναγκαίο από το Δικαστήριο, να εφαρμοστούν οι πρόνοιες του άρθρου 202(1)(α) του Κεφ. 113,</w:t>
      </w:r>
      <w:r w:rsidR="00616F8E">
        <w:rPr>
          <w:rStyle w:val="FootnoteReference"/>
          <w:rFonts w:ascii="Bookman Old Style" w:hAnsi="Bookman Old Style"/>
          <w:i/>
          <w:iCs/>
          <w:sz w:val="26"/>
          <w:szCs w:val="26"/>
          <w:lang w:val="el-GR"/>
        </w:rPr>
        <w:footnoteReference w:id="3"/>
      </w:r>
      <w:r w:rsidR="00616F8E">
        <w:rPr>
          <w:rFonts w:ascii="Bookman Old Style" w:hAnsi="Bookman Old Style"/>
          <w:i/>
          <w:iCs/>
          <w:sz w:val="26"/>
          <w:szCs w:val="26"/>
          <w:lang w:val="el-GR"/>
        </w:rPr>
        <w:t xml:space="preserve"> οι οποίες εξυπηρετούν τον ίδιο σκοπό μ’ αυτό που μονομερώς επιδιώκεται με την παρούσα ενδιάμεση αίτηση.»</w:t>
      </w:r>
    </w:p>
    <w:p w14:paraId="1FEF7B3A" w14:textId="77777777" w:rsidR="007A3B06" w:rsidRDefault="007A3B06" w:rsidP="00144069">
      <w:pPr>
        <w:spacing w:line="480" w:lineRule="auto"/>
        <w:ind w:right="-35"/>
        <w:jc w:val="both"/>
        <w:rPr>
          <w:rFonts w:ascii="Bookman Old Style" w:hAnsi="Bookman Old Style" w:cs="Arial"/>
          <w:sz w:val="28"/>
          <w:szCs w:val="28"/>
          <w:lang w:val="el-GR"/>
        </w:rPr>
      </w:pPr>
    </w:p>
    <w:p w14:paraId="53B19378" w14:textId="7479A2D8" w:rsidR="00144069" w:rsidRDefault="00144069"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Θεώρησε</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w:t>
      </w:r>
      <w:r w:rsidR="000F7844">
        <w:rPr>
          <w:rFonts w:ascii="Bookman Old Style" w:hAnsi="Bookman Old Style" w:cs="Arial"/>
          <w:sz w:val="28"/>
          <w:szCs w:val="28"/>
          <w:lang w:val="el-GR"/>
        </w:rPr>
        <w:t>επίσης,</w:t>
      </w:r>
      <w:r>
        <w:rPr>
          <w:rFonts w:ascii="Bookman Old Style" w:hAnsi="Bookman Old Style" w:cs="Arial"/>
          <w:sz w:val="28"/>
          <w:szCs w:val="28"/>
          <w:lang w:val="el-GR"/>
        </w:rPr>
        <w:t xml:space="preserve"> ότι δεν ικανοποιείτο ούτε το στοιχείο της ύπαρξης ιδιαίτερων περιστάσεων. Υπό αυτά τα δεδομένα κατέληξε ότι δεν δικαιολογείτο η απόδοση της αιτούμενης θεραπείας για το λόγο που προβλήθηκε, κατά παρέκκλιση του κανόνα της </w:t>
      </w:r>
      <w:r w:rsidR="00EF4C27">
        <w:rPr>
          <w:rFonts w:ascii="Bookman Old Style" w:hAnsi="Bookman Old Style" w:cs="Arial"/>
          <w:sz w:val="28"/>
          <w:szCs w:val="28"/>
          <w:lang w:val="el-GR"/>
        </w:rPr>
        <w:t>Φ</w:t>
      </w:r>
      <w:r>
        <w:rPr>
          <w:rFonts w:ascii="Bookman Old Style" w:hAnsi="Bookman Old Style" w:cs="Arial"/>
          <w:sz w:val="28"/>
          <w:szCs w:val="28"/>
          <w:lang w:val="el-GR"/>
        </w:rPr>
        <w:t xml:space="preserve">υσικής </w:t>
      </w:r>
      <w:r w:rsidR="00EF4C27">
        <w:rPr>
          <w:rFonts w:ascii="Bookman Old Style" w:hAnsi="Bookman Old Style" w:cs="Arial"/>
          <w:sz w:val="28"/>
          <w:szCs w:val="28"/>
          <w:lang w:val="el-GR"/>
        </w:rPr>
        <w:t>Δ</w:t>
      </w:r>
      <w:r>
        <w:rPr>
          <w:rFonts w:ascii="Bookman Old Style" w:hAnsi="Bookman Old Style" w:cs="Arial"/>
          <w:sz w:val="28"/>
          <w:szCs w:val="28"/>
          <w:lang w:val="el-GR"/>
        </w:rPr>
        <w:t xml:space="preserve">ικαιοσύνης, δηλαδή στην απουσία της άλλης πλευράς που στην προκείμενη περίπτωση ήτο ο </w:t>
      </w:r>
      <w:r w:rsidR="002E3336">
        <w:rPr>
          <w:rFonts w:ascii="Bookman Old Style" w:hAnsi="Bookman Old Style" w:cs="Arial"/>
          <w:sz w:val="28"/>
          <w:szCs w:val="28"/>
          <w:lang w:val="el-GR"/>
        </w:rPr>
        <w:t>Παραλήπτης/Διαχειριστής</w:t>
      </w:r>
      <w:r>
        <w:rPr>
          <w:rFonts w:ascii="Bookman Old Style" w:hAnsi="Bookman Old Style" w:cs="Arial"/>
          <w:sz w:val="28"/>
          <w:szCs w:val="28"/>
          <w:lang w:val="el-GR"/>
        </w:rPr>
        <w:t xml:space="preserve">, ο οποίος επηρεάζετο άμεσα από τυχόν έκδοση του αιτούμενου </w:t>
      </w:r>
      <w:r w:rsidR="00EF4C27">
        <w:rPr>
          <w:rFonts w:ascii="Bookman Old Style" w:hAnsi="Bookman Old Style" w:cs="Arial"/>
          <w:sz w:val="28"/>
          <w:szCs w:val="28"/>
          <w:lang w:val="el-GR"/>
        </w:rPr>
        <w:t>Δ</w:t>
      </w:r>
      <w:r>
        <w:rPr>
          <w:rFonts w:ascii="Bookman Old Style" w:hAnsi="Bookman Old Style" w:cs="Arial"/>
          <w:sz w:val="28"/>
          <w:szCs w:val="28"/>
          <w:lang w:val="el-GR"/>
        </w:rPr>
        <w:t>ιατάγματος.</w:t>
      </w:r>
    </w:p>
    <w:p w14:paraId="5E734353" w14:textId="77777777" w:rsidR="00144069" w:rsidRDefault="00144069" w:rsidP="00144069">
      <w:pPr>
        <w:spacing w:line="480" w:lineRule="auto"/>
        <w:ind w:right="-35"/>
        <w:jc w:val="both"/>
        <w:rPr>
          <w:rFonts w:ascii="Bookman Old Style" w:hAnsi="Bookman Old Style" w:cs="Arial"/>
          <w:sz w:val="28"/>
          <w:szCs w:val="28"/>
          <w:lang w:val="el-GR"/>
        </w:rPr>
      </w:pPr>
    </w:p>
    <w:p w14:paraId="06EAB41A" w14:textId="55E0A286" w:rsidR="00144069" w:rsidRDefault="00144069"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Πέραν και ανεξάρτητα της πιο πάνω κατάληξης, το Κατώτερο Δικαστήριο εξετάζοντας τις προϋποθέσεις του </w:t>
      </w:r>
      <w:r>
        <w:rPr>
          <w:rFonts w:ascii="Bookman Old Style" w:hAnsi="Bookman Old Style" w:cs="Arial"/>
          <w:b/>
          <w:bCs/>
          <w:i/>
          <w:iCs/>
          <w:sz w:val="28"/>
          <w:szCs w:val="28"/>
          <w:lang w:val="el-GR"/>
        </w:rPr>
        <w:t xml:space="preserve">Άρθρου 32 </w:t>
      </w:r>
      <w:r w:rsidRPr="00142536">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περί Δικαστηρίων Νόμου, Ν. 14/60</w:t>
      </w:r>
      <w:r>
        <w:rPr>
          <w:rFonts w:ascii="Bookman Old Style" w:hAnsi="Bookman Old Style" w:cs="Arial"/>
          <w:sz w:val="28"/>
          <w:szCs w:val="28"/>
          <w:lang w:val="el-GR"/>
        </w:rPr>
        <w:t>, παρά το γεγονός ότι έκρινε ότι πληρείτο η πρώτη προϋπόθεση, για την ύπαρξη</w:t>
      </w:r>
      <w:r w:rsidR="00EF4C27">
        <w:rPr>
          <w:rFonts w:ascii="Bookman Old Style" w:hAnsi="Bookman Old Style" w:cs="Arial"/>
          <w:sz w:val="28"/>
          <w:szCs w:val="28"/>
          <w:lang w:val="el-GR"/>
        </w:rPr>
        <w:t>,</w:t>
      </w:r>
      <w:r>
        <w:rPr>
          <w:rFonts w:ascii="Bookman Old Style" w:hAnsi="Bookman Old Style" w:cs="Arial"/>
          <w:sz w:val="28"/>
          <w:szCs w:val="28"/>
          <w:lang w:val="el-GR"/>
        </w:rPr>
        <w:t xml:space="preserve"> δηλαδή</w:t>
      </w:r>
      <w:r w:rsidR="00EF4C27">
        <w:rPr>
          <w:rFonts w:ascii="Bookman Old Style" w:hAnsi="Bookman Old Style" w:cs="Arial"/>
          <w:sz w:val="28"/>
          <w:szCs w:val="28"/>
          <w:lang w:val="el-GR"/>
        </w:rPr>
        <w:t>,</w:t>
      </w:r>
      <w:r>
        <w:rPr>
          <w:rFonts w:ascii="Bookman Old Style" w:hAnsi="Bookman Old Style" w:cs="Arial"/>
          <w:sz w:val="28"/>
          <w:szCs w:val="28"/>
          <w:lang w:val="el-GR"/>
        </w:rPr>
        <w:t xml:space="preserve"> συζητήσιμης υπόθεσης, θεώρησε ότι δεν πληρείτο η δεύτερη προϋπόθεση, που αφορά </w:t>
      </w:r>
      <w:r w:rsidR="000F7844">
        <w:rPr>
          <w:rFonts w:ascii="Bookman Old Style" w:hAnsi="Bookman Old Style" w:cs="Arial"/>
          <w:sz w:val="28"/>
          <w:szCs w:val="28"/>
          <w:lang w:val="el-GR"/>
        </w:rPr>
        <w:t>σ</w:t>
      </w:r>
      <w:r>
        <w:rPr>
          <w:rFonts w:ascii="Bookman Old Style" w:hAnsi="Bookman Old Style" w:cs="Arial"/>
          <w:sz w:val="28"/>
          <w:szCs w:val="28"/>
          <w:lang w:val="el-GR"/>
        </w:rPr>
        <w:t>την πιθανολόγηση επιτυχίας και</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ενόψει αυτής του της διαπίστωσης</w:t>
      </w:r>
      <w:r w:rsidR="000F7844">
        <w:rPr>
          <w:rFonts w:ascii="Bookman Old Style" w:hAnsi="Bookman Old Style" w:cs="Arial"/>
          <w:sz w:val="28"/>
          <w:szCs w:val="28"/>
          <w:lang w:val="el-GR"/>
        </w:rPr>
        <w:t>,</w:t>
      </w:r>
      <w:r>
        <w:rPr>
          <w:rFonts w:ascii="Bookman Old Style" w:hAnsi="Bookman Old Style" w:cs="Arial"/>
          <w:sz w:val="28"/>
          <w:szCs w:val="28"/>
          <w:lang w:val="el-GR"/>
        </w:rPr>
        <w:t xml:space="preserve"> απέρριψε την Αίτηση χωρίς να προχωρήσει στην εξέταση των υπόλοιπων κριτηρίων. </w:t>
      </w:r>
    </w:p>
    <w:p w14:paraId="6A0E74A1" w14:textId="77777777" w:rsidR="00821E50" w:rsidRDefault="00821E50" w:rsidP="00144069">
      <w:pPr>
        <w:spacing w:line="480" w:lineRule="auto"/>
        <w:ind w:right="-35"/>
        <w:jc w:val="both"/>
        <w:rPr>
          <w:rFonts w:ascii="Bookman Old Style" w:hAnsi="Bookman Old Style" w:cs="Arial"/>
          <w:sz w:val="28"/>
          <w:szCs w:val="28"/>
          <w:lang w:val="el-GR"/>
        </w:rPr>
      </w:pPr>
    </w:p>
    <w:p w14:paraId="72C3A11F" w14:textId="16802F56" w:rsidR="00821E50" w:rsidRDefault="00821E50"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Έγινε από πλευράς Αιτητών επίκληση στην απόφαση </w:t>
      </w:r>
      <w:r>
        <w:rPr>
          <w:rFonts w:ascii="Bookman Old Style" w:hAnsi="Bookman Old Style" w:cs="Arial"/>
          <w:b/>
          <w:bCs/>
          <w:i/>
          <w:iCs/>
          <w:sz w:val="28"/>
          <w:szCs w:val="28"/>
          <w:lang w:val="el-GR"/>
        </w:rPr>
        <w:t xml:space="preserve">Αναφορικά με την Αίτηση της </w:t>
      </w:r>
      <w:r>
        <w:rPr>
          <w:rFonts w:ascii="Bookman Old Style" w:hAnsi="Bookman Old Style" w:cs="Arial"/>
          <w:b/>
          <w:bCs/>
          <w:i/>
          <w:iCs/>
          <w:sz w:val="28"/>
          <w:szCs w:val="28"/>
          <w:lang w:val="en-US"/>
        </w:rPr>
        <w:t>Alpha</w:t>
      </w:r>
      <w:r w:rsidRPr="00821E50">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Bank Cyprus Ltd, Πολιτική Αίτηση Αρ. 123/2017, ημερ. 7/9/2017</w:t>
      </w:r>
      <w:r>
        <w:rPr>
          <w:rFonts w:ascii="Bookman Old Style" w:hAnsi="Bookman Old Style" w:cs="Arial"/>
          <w:sz w:val="28"/>
          <w:szCs w:val="28"/>
          <w:lang w:val="el-GR"/>
        </w:rPr>
        <w:t>, για να υποστηριχθεί ότι «</w:t>
      </w:r>
      <w:r>
        <w:rPr>
          <w:rFonts w:ascii="Bookman Old Style" w:hAnsi="Bookman Old Style" w:cs="Arial"/>
          <w:i/>
          <w:iCs/>
          <w:sz w:val="28"/>
          <w:szCs w:val="28"/>
          <w:lang w:val="el-GR"/>
        </w:rPr>
        <w:t>το Κατώτερο Δικαστήριο αντίκρισε τη μονομερή Αίτηση υπό τη στενή έννοια αίτησης για έκδοση προσωρινών διαταγμάτων, υπερβαίνοντας την εξουσία και δικαιοδοσία του με βάση το Νόμο και δη ειδικότερα τα Άρθρα 202Α και 202Η του περί Εταιρειών Νόμου – Κεφ. 113 και του γεγονότος ότι οι Εταιρείες βρίσκονται από τις 13/12/2023 υπό την προστασία του Δικαστηρίου</w:t>
      </w:r>
      <w:r>
        <w:rPr>
          <w:rFonts w:ascii="Bookman Old Style" w:hAnsi="Bookman Old Style" w:cs="Arial"/>
          <w:sz w:val="28"/>
          <w:szCs w:val="28"/>
          <w:lang w:val="el-GR"/>
        </w:rPr>
        <w:t>».</w:t>
      </w:r>
    </w:p>
    <w:p w14:paraId="45904ACA" w14:textId="77777777" w:rsidR="002E3336" w:rsidRDefault="002E3336" w:rsidP="00144069">
      <w:pPr>
        <w:spacing w:line="480" w:lineRule="auto"/>
        <w:ind w:right="-35"/>
        <w:jc w:val="both"/>
        <w:rPr>
          <w:rFonts w:ascii="Bookman Old Style" w:hAnsi="Bookman Old Style" w:cs="Arial"/>
          <w:sz w:val="28"/>
          <w:szCs w:val="28"/>
          <w:lang w:val="el-GR"/>
        </w:rPr>
      </w:pPr>
    </w:p>
    <w:p w14:paraId="6B62D4B9" w14:textId="77777777" w:rsidR="00186D6E" w:rsidRDefault="00821E50"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Δεν θεωρώ ότι η υπόθεση </w:t>
      </w:r>
      <w:r>
        <w:rPr>
          <w:rFonts w:ascii="Bookman Old Style" w:hAnsi="Bookman Old Style" w:cs="Arial"/>
          <w:b/>
          <w:bCs/>
          <w:i/>
          <w:iCs/>
          <w:sz w:val="28"/>
          <w:szCs w:val="28"/>
          <w:lang w:val="en-US"/>
        </w:rPr>
        <w:t>Alpha</w:t>
      </w:r>
      <w:r w:rsidRPr="00821E50">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Bank</w:t>
      </w:r>
      <w:r>
        <w:rPr>
          <w:rFonts w:ascii="Bookman Old Style" w:hAnsi="Bookman Old Style" w:cs="Arial"/>
          <w:sz w:val="28"/>
          <w:szCs w:val="28"/>
          <w:lang w:val="el-GR"/>
        </w:rPr>
        <w:t xml:space="preserve"> (ανωτέρω) βοηθά τους Αιτητές. </w:t>
      </w:r>
    </w:p>
    <w:p w14:paraId="7729BA82" w14:textId="77777777" w:rsidR="00186D6E" w:rsidRDefault="00186D6E" w:rsidP="00144069">
      <w:pPr>
        <w:spacing w:line="480" w:lineRule="auto"/>
        <w:ind w:right="-35"/>
        <w:jc w:val="both"/>
        <w:rPr>
          <w:rFonts w:ascii="Bookman Old Style" w:hAnsi="Bookman Old Style" w:cs="Arial"/>
          <w:sz w:val="28"/>
          <w:szCs w:val="28"/>
          <w:lang w:val="el-GR"/>
        </w:rPr>
      </w:pPr>
    </w:p>
    <w:p w14:paraId="32895221" w14:textId="4987BB50" w:rsidR="008A264B" w:rsidRDefault="00821E50"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εκείνη είχε καταχωρηθεί μια </w:t>
      </w:r>
      <w:r w:rsidR="00214047">
        <w:rPr>
          <w:rFonts w:ascii="Bookman Old Style" w:hAnsi="Bookman Old Style" w:cs="Arial"/>
          <w:sz w:val="28"/>
          <w:szCs w:val="28"/>
          <w:lang w:val="el-GR"/>
        </w:rPr>
        <w:t>Γ</w:t>
      </w:r>
      <w:r>
        <w:rPr>
          <w:rFonts w:ascii="Bookman Old Style" w:hAnsi="Bookman Old Style" w:cs="Arial"/>
          <w:sz w:val="28"/>
          <w:szCs w:val="28"/>
          <w:lang w:val="el-GR"/>
        </w:rPr>
        <w:t xml:space="preserve">ενική </w:t>
      </w:r>
      <w:r w:rsidR="00214047">
        <w:rPr>
          <w:rFonts w:ascii="Bookman Old Style" w:hAnsi="Bookman Old Style" w:cs="Arial"/>
          <w:sz w:val="28"/>
          <w:szCs w:val="28"/>
          <w:lang w:val="el-GR"/>
        </w:rPr>
        <w:t>Α</w:t>
      </w:r>
      <w:r>
        <w:rPr>
          <w:rFonts w:ascii="Bookman Old Style" w:hAnsi="Bookman Old Style" w:cs="Arial"/>
          <w:sz w:val="28"/>
          <w:szCs w:val="28"/>
          <w:lang w:val="el-GR"/>
        </w:rPr>
        <w:t xml:space="preserve">ίτηση με την οποία επιδιώκετο η έκδοση διατάγματος για διορισμό συγκεκριμένου ατόμου ως εξεταστή των υποθέσεων μιας εταιρείας, καθώς και η έκδοση προσωρινού διατάγματος για να τεθεί η εταιρεία υπό την προσωρινή προστασία του Δικαστηρίου για περίοδο 15 ημερών, με σκοπό να υποβληθεί η έκθεση συγκεκριμένου εμπειρογνώμονα που αποτελεί εκ του Νόμου προϋπόθεση για να εξεταστεί και εκδοθεί διάταγμα διορισμού εξεταστή. Η έκδοση διατάγματος προσωρινής προστασίας στηρίζετο στις πρόνοιες του </w:t>
      </w:r>
      <w:r>
        <w:rPr>
          <w:rFonts w:ascii="Bookman Old Style" w:hAnsi="Bookman Old Style" w:cs="Arial"/>
          <w:b/>
          <w:bCs/>
          <w:i/>
          <w:iCs/>
          <w:sz w:val="28"/>
          <w:szCs w:val="28"/>
          <w:lang w:val="el-GR"/>
        </w:rPr>
        <w:t xml:space="preserve">Άρθρου 202Γ </w:t>
      </w:r>
      <w:r w:rsidRPr="00821E50">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Κεφ. 113</w:t>
      </w:r>
      <w:r w:rsidR="00214047">
        <w:rPr>
          <w:rStyle w:val="FootnoteReference"/>
          <w:rFonts w:ascii="Bookman Old Style" w:hAnsi="Bookman Old Style" w:cs="Arial"/>
          <w:b/>
          <w:bCs/>
          <w:i/>
          <w:iCs/>
          <w:sz w:val="28"/>
          <w:szCs w:val="28"/>
          <w:lang w:val="el-GR"/>
        </w:rPr>
        <w:footnoteReference w:id="4"/>
      </w:r>
      <w:r>
        <w:rPr>
          <w:rFonts w:ascii="Bookman Old Style" w:hAnsi="Bookman Old Style" w:cs="Arial"/>
          <w:sz w:val="28"/>
          <w:szCs w:val="28"/>
          <w:lang w:val="el-GR"/>
        </w:rPr>
        <w:t xml:space="preserve">, οι οποίες έρχονται στο προσκήνιο όταν χρειάζεται χρόνος για την ετοιμασία της Έκθεσης για τους σκοπούς μιας αίτησης για διορισμό εξεταστή. Είναι στο πλαίσιο αυτό που το Δικαστήριο ανέφερε στην εν λόγω υπόθεση ότι το εκδοθέν διάταγμα προσωρινής προστασίας ήτο ένα </w:t>
      </w:r>
      <w:r w:rsidRPr="008A264B">
        <w:rPr>
          <w:rFonts w:ascii="Bookman Old Style" w:hAnsi="Bookman Old Style" w:cs="Arial"/>
          <w:i/>
          <w:iCs/>
          <w:sz w:val="28"/>
          <w:szCs w:val="28"/>
          <w:lang w:val="en-US"/>
        </w:rPr>
        <w:t>sui</w:t>
      </w:r>
      <w:r w:rsidRPr="008A264B">
        <w:rPr>
          <w:rFonts w:ascii="Bookman Old Style" w:hAnsi="Bookman Old Style" w:cs="Arial"/>
          <w:i/>
          <w:iCs/>
          <w:sz w:val="28"/>
          <w:szCs w:val="28"/>
          <w:lang w:val="el-GR"/>
        </w:rPr>
        <w:t xml:space="preserve"> generis</w:t>
      </w:r>
      <w:r>
        <w:rPr>
          <w:rFonts w:ascii="Bookman Old Style" w:hAnsi="Bookman Old Style" w:cs="Arial"/>
          <w:sz w:val="28"/>
          <w:szCs w:val="28"/>
          <w:lang w:val="el-GR"/>
        </w:rPr>
        <w:t xml:space="preserve"> διάταγμα που απέβλεπε </w:t>
      </w:r>
      <w:r w:rsidR="008A264B">
        <w:rPr>
          <w:rFonts w:ascii="Bookman Old Style" w:hAnsi="Bookman Old Style" w:cs="Arial"/>
          <w:sz w:val="28"/>
          <w:szCs w:val="28"/>
          <w:lang w:val="el-GR"/>
        </w:rPr>
        <w:t>«</w:t>
      </w:r>
      <w:r w:rsidRPr="008A264B">
        <w:rPr>
          <w:rFonts w:ascii="Bookman Old Style" w:hAnsi="Bookman Old Style" w:cs="Arial"/>
          <w:i/>
          <w:iCs/>
          <w:sz w:val="28"/>
          <w:szCs w:val="28"/>
          <w:lang w:val="el-GR"/>
        </w:rPr>
        <w:t>στην παροχή μιας ασπίδας προστασίας από το Δικαστήριο ως ένα μέτρο ανάσας μέχρι να ετοιμαστεί η Έκθεση του εμπειρογνώμονα ελεγκτή για την όλη οικονομική βιωσιμότητα της εταιρείας</w:t>
      </w:r>
      <w:r w:rsidR="008A264B">
        <w:rPr>
          <w:rFonts w:ascii="Bookman Old Style" w:hAnsi="Bookman Old Style" w:cs="Arial"/>
          <w:sz w:val="28"/>
          <w:szCs w:val="28"/>
          <w:lang w:val="el-GR"/>
        </w:rPr>
        <w:t>»</w:t>
      </w:r>
      <w:r>
        <w:rPr>
          <w:rFonts w:ascii="Bookman Old Style" w:hAnsi="Bookman Old Style" w:cs="Arial"/>
          <w:sz w:val="28"/>
          <w:szCs w:val="28"/>
          <w:lang w:val="el-GR"/>
        </w:rPr>
        <w:t xml:space="preserve"> και ότι δεν είχε νόημα «</w:t>
      </w:r>
      <w:r>
        <w:rPr>
          <w:rFonts w:ascii="Bookman Old Style" w:hAnsi="Bookman Old Style" w:cs="Arial"/>
          <w:i/>
          <w:iCs/>
          <w:sz w:val="28"/>
          <w:szCs w:val="28"/>
          <w:lang w:val="el-GR"/>
        </w:rPr>
        <w:t>το να το αντικρίζει κανείς υπό τις παραδοσιακές έννοιες ενός προσωρινού ή ενδιάμεσου διατάγματος ή τελικού</w:t>
      </w:r>
      <w:r>
        <w:rPr>
          <w:rFonts w:ascii="Bookman Old Style" w:hAnsi="Bookman Old Style" w:cs="Arial"/>
          <w:sz w:val="28"/>
          <w:szCs w:val="28"/>
          <w:lang w:val="el-GR"/>
        </w:rPr>
        <w:t>».</w:t>
      </w:r>
    </w:p>
    <w:p w14:paraId="0BFC7CCA" w14:textId="0E501D86" w:rsidR="00821E50" w:rsidRPr="001E24B2" w:rsidRDefault="00821E50"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785004DF" w14:textId="134E6973" w:rsidR="00821E50" w:rsidRDefault="008A264B" w:rsidP="0014406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Τέτοια ήταν, επίσης, και η περίπτωση στην υπόθεση </w:t>
      </w:r>
      <w:r w:rsidRPr="008A264B">
        <w:rPr>
          <w:rFonts w:ascii="Bookman Old Style" w:hAnsi="Bookman Old Style" w:cs="Arial"/>
          <w:b/>
          <w:bCs/>
          <w:i/>
          <w:iCs/>
          <w:sz w:val="28"/>
          <w:szCs w:val="28"/>
          <w:lang w:val="el-GR"/>
        </w:rPr>
        <w:t xml:space="preserve">Αναφορικά με την Αίτηση των </w:t>
      </w:r>
      <w:r w:rsidRPr="008A264B">
        <w:rPr>
          <w:rFonts w:ascii="Bookman Old Style" w:hAnsi="Bookman Old Style" w:cs="Arial"/>
          <w:b/>
          <w:bCs/>
          <w:i/>
          <w:iCs/>
          <w:sz w:val="28"/>
          <w:szCs w:val="28"/>
          <w:lang w:val="en-US"/>
        </w:rPr>
        <w:t>Lani</w:t>
      </w:r>
      <w:r w:rsidRPr="008A264B">
        <w:rPr>
          <w:rFonts w:ascii="Bookman Old Style" w:hAnsi="Bookman Old Style" w:cs="Arial"/>
          <w:b/>
          <w:bCs/>
          <w:i/>
          <w:iCs/>
          <w:sz w:val="28"/>
          <w:szCs w:val="28"/>
          <w:lang w:val="el-GR"/>
        </w:rPr>
        <w:t xml:space="preserve"> Restaurants Ltd κ.ά</w:t>
      </w:r>
      <w:r w:rsidR="00142536">
        <w:rPr>
          <w:rFonts w:ascii="Bookman Old Style" w:hAnsi="Bookman Old Style" w:cs="Arial"/>
          <w:b/>
          <w:bCs/>
          <w:i/>
          <w:iCs/>
          <w:sz w:val="28"/>
          <w:szCs w:val="28"/>
          <w:lang w:val="el-GR"/>
        </w:rPr>
        <w:t>.</w:t>
      </w:r>
      <w:r w:rsidRPr="008A264B">
        <w:rPr>
          <w:rFonts w:ascii="Bookman Old Style" w:hAnsi="Bookman Old Style" w:cs="Arial"/>
          <w:b/>
          <w:bCs/>
          <w:i/>
          <w:iCs/>
          <w:sz w:val="28"/>
          <w:szCs w:val="28"/>
          <w:lang w:val="el-GR"/>
        </w:rPr>
        <w:t xml:space="preserve"> (2015) 1 Α.Α.Δ. 1577</w:t>
      </w:r>
      <w:r w:rsidR="0023293E">
        <w:rPr>
          <w:rStyle w:val="FootnoteReference"/>
          <w:rFonts w:ascii="Bookman Old Style" w:hAnsi="Bookman Old Style" w:cs="Arial"/>
          <w:b/>
          <w:bCs/>
          <w:i/>
          <w:iCs/>
          <w:sz w:val="28"/>
          <w:szCs w:val="28"/>
          <w:lang w:val="el-GR"/>
        </w:rPr>
        <w:footnoteReference w:id="5"/>
      </w:r>
      <w:r w:rsidR="0023293E">
        <w:rPr>
          <w:rFonts w:ascii="Bookman Old Style" w:hAnsi="Bookman Old Style" w:cs="Arial"/>
          <w:sz w:val="28"/>
          <w:szCs w:val="28"/>
          <w:lang w:val="el-GR"/>
        </w:rPr>
        <w:t>,</w:t>
      </w:r>
      <w:r>
        <w:rPr>
          <w:rFonts w:ascii="Bookman Old Style" w:hAnsi="Bookman Old Style" w:cs="Arial"/>
          <w:sz w:val="28"/>
          <w:szCs w:val="28"/>
          <w:lang w:val="el-GR"/>
        </w:rPr>
        <w:t xml:space="preserve">  την οποία</w:t>
      </w:r>
      <w:r w:rsidR="00777029">
        <w:rPr>
          <w:rFonts w:ascii="Bookman Old Style" w:hAnsi="Bookman Old Style" w:cs="Arial"/>
          <w:sz w:val="28"/>
          <w:szCs w:val="28"/>
          <w:lang w:val="el-GR"/>
        </w:rPr>
        <w:t>, επίσης,</w:t>
      </w:r>
      <w:r>
        <w:rPr>
          <w:rFonts w:ascii="Bookman Old Style" w:hAnsi="Bookman Old Style" w:cs="Arial"/>
          <w:sz w:val="28"/>
          <w:szCs w:val="28"/>
          <w:lang w:val="el-GR"/>
        </w:rPr>
        <w:t xml:space="preserve"> επικαλέστηκαν οι Αιτητές στην γραπτή Αγόρευση τους,</w:t>
      </w:r>
      <w:r w:rsidR="0023293E">
        <w:rPr>
          <w:rFonts w:ascii="Bookman Old Style" w:hAnsi="Bookman Old Style" w:cs="Arial"/>
          <w:sz w:val="28"/>
          <w:szCs w:val="28"/>
          <w:lang w:val="el-GR"/>
        </w:rPr>
        <w:t xml:space="preserve"> όπου επισημάνθηκε ότι πρόκειται για «</w:t>
      </w:r>
      <w:r w:rsidR="0023293E" w:rsidRPr="0023293E">
        <w:rPr>
          <w:rFonts w:ascii="Bookman Old Style" w:hAnsi="Bookman Old Style" w:cs="Arial"/>
          <w:i/>
          <w:iCs/>
          <w:sz w:val="28"/>
          <w:szCs w:val="28"/>
          <w:lang w:val="el-GR"/>
        </w:rPr>
        <w:t>ειδική διαδικασία με ειδικό σκοπό</w:t>
      </w:r>
      <w:r w:rsidR="0023293E">
        <w:rPr>
          <w:rFonts w:ascii="Bookman Old Style" w:hAnsi="Bookman Old Style" w:cs="Arial"/>
          <w:sz w:val="28"/>
          <w:szCs w:val="28"/>
          <w:lang w:val="el-GR"/>
        </w:rPr>
        <w:t>»,</w:t>
      </w:r>
      <w:r>
        <w:rPr>
          <w:rFonts w:ascii="Bookman Old Style" w:hAnsi="Bookman Old Style" w:cs="Arial"/>
          <w:sz w:val="28"/>
          <w:szCs w:val="28"/>
          <w:lang w:val="el-GR"/>
        </w:rPr>
        <w:t xml:space="preserve"> εφόσον αφορούσε σε διάταγμα για να τεθεί η εταιρεία υπό την προστασία του Δικαστηρίου για </w:t>
      </w:r>
      <w:r w:rsidR="0023293E">
        <w:rPr>
          <w:rFonts w:ascii="Bookman Old Style" w:hAnsi="Bookman Old Style" w:cs="Arial"/>
          <w:sz w:val="28"/>
          <w:szCs w:val="28"/>
          <w:lang w:val="el-GR"/>
        </w:rPr>
        <w:t>συγκεκριμένη</w:t>
      </w:r>
      <w:r>
        <w:rPr>
          <w:rFonts w:ascii="Bookman Old Style" w:hAnsi="Bookman Old Style" w:cs="Arial"/>
          <w:sz w:val="28"/>
          <w:szCs w:val="28"/>
          <w:lang w:val="el-GR"/>
        </w:rPr>
        <w:t xml:space="preserve"> περίοδο με σκοπό να υποβληθεί έκθεση ανεξάρτητου εμπειρογνώμονα</w:t>
      </w:r>
      <w:r w:rsidR="00777029">
        <w:rPr>
          <w:rFonts w:ascii="Bookman Old Style" w:hAnsi="Bookman Old Style" w:cs="Arial"/>
          <w:sz w:val="28"/>
          <w:szCs w:val="28"/>
          <w:lang w:val="el-GR"/>
        </w:rPr>
        <w:t>,</w:t>
      </w:r>
      <w:r>
        <w:rPr>
          <w:rFonts w:ascii="Bookman Old Style" w:hAnsi="Bookman Old Style" w:cs="Arial"/>
          <w:sz w:val="28"/>
          <w:szCs w:val="28"/>
          <w:lang w:val="el-GR"/>
        </w:rPr>
        <w:t xml:space="preserve"> </w:t>
      </w:r>
      <w:r w:rsidR="0023293E">
        <w:rPr>
          <w:rFonts w:ascii="Bookman Old Style" w:hAnsi="Bookman Old Style" w:cs="Arial"/>
          <w:sz w:val="28"/>
          <w:szCs w:val="28"/>
          <w:lang w:val="el-GR"/>
        </w:rPr>
        <w:t xml:space="preserve">όπως προνοείται στο Άρθρο </w:t>
      </w:r>
      <w:r w:rsidR="0023293E" w:rsidRPr="000F7844">
        <w:rPr>
          <w:rFonts w:ascii="Bookman Old Style" w:hAnsi="Bookman Old Style" w:cs="Arial"/>
          <w:b/>
          <w:bCs/>
          <w:i/>
          <w:iCs/>
          <w:sz w:val="28"/>
          <w:szCs w:val="28"/>
          <w:lang w:val="el-GR"/>
        </w:rPr>
        <w:t>202Γ(1)</w:t>
      </w:r>
      <w:r w:rsidR="0023293E">
        <w:rPr>
          <w:rFonts w:ascii="Bookman Old Style" w:hAnsi="Bookman Old Style" w:cs="Arial"/>
          <w:sz w:val="28"/>
          <w:szCs w:val="28"/>
          <w:lang w:val="el-GR"/>
        </w:rPr>
        <w:t xml:space="preserve"> του </w:t>
      </w:r>
      <w:r w:rsidR="0023293E" w:rsidRPr="000F7844">
        <w:rPr>
          <w:rFonts w:ascii="Bookman Old Style" w:hAnsi="Bookman Old Style" w:cs="Arial"/>
          <w:b/>
          <w:bCs/>
          <w:i/>
          <w:iCs/>
          <w:sz w:val="28"/>
          <w:szCs w:val="28"/>
          <w:lang w:val="el-GR"/>
        </w:rPr>
        <w:t>Κεφ.</w:t>
      </w:r>
      <w:r w:rsidR="00777029">
        <w:rPr>
          <w:rFonts w:ascii="Bookman Old Style" w:hAnsi="Bookman Old Style" w:cs="Arial"/>
          <w:b/>
          <w:bCs/>
          <w:i/>
          <w:iCs/>
          <w:sz w:val="28"/>
          <w:szCs w:val="28"/>
          <w:lang w:val="el-GR"/>
        </w:rPr>
        <w:t xml:space="preserve"> </w:t>
      </w:r>
      <w:r w:rsidR="0023293E" w:rsidRPr="000F7844">
        <w:rPr>
          <w:rFonts w:ascii="Bookman Old Style" w:hAnsi="Bookman Old Style" w:cs="Arial"/>
          <w:b/>
          <w:bCs/>
          <w:i/>
          <w:iCs/>
          <w:sz w:val="28"/>
          <w:szCs w:val="28"/>
          <w:lang w:val="el-GR"/>
        </w:rPr>
        <w:t>113</w:t>
      </w:r>
      <w:r w:rsidR="0023293E">
        <w:rPr>
          <w:rFonts w:ascii="Bookman Old Style" w:hAnsi="Bookman Old Style" w:cs="Arial"/>
          <w:sz w:val="28"/>
          <w:szCs w:val="28"/>
          <w:lang w:val="el-GR"/>
        </w:rPr>
        <w:t>.</w:t>
      </w:r>
    </w:p>
    <w:p w14:paraId="52FB2DDC" w14:textId="77777777" w:rsidR="008A264B" w:rsidRPr="008A264B" w:rsidRDefault="008A264B" w:rsidP="00144069">
      <w:pPr>
        <w:spacing w:line="480" w:lineRule="auto"/>
        <w:ind w:right="-35"/>
        <w:jc w:val="both"/>
        <w:rPr>
          <w:rFonts w:ascii="Bookman Old Style" w:hAnsi="Bookman Old Style" w:cs="Arial"/>
          <w:sz w:val="28"/>
          <w:szCs w:val="28"/>
          <w:lang w:val="el-GR"/>
        </w:rPr>
      </w:pPr>
    </w:p>
    <w:p w14:paraId="5575C49C" w14:textId="42302C3B" w:rsidR="008862B7" w:rsidRDefault="000F7844" w:rsidP="000F784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υπό εξέταση περίπτωση δεν αφορά, βεβαίως, αίτηση για έκδοση διατάγματος προσωρινής θεραπείας εκκρεμούσης της έκθεσης με βάση τα διαλαμβανόμενα στο </w:t>
      </w:r>
      <w:r w:rsidRPr="000F7844">
        <w:rPr>
          <w:rFonts w:ascii="Bookman Old Style" w:hAnsi="Bookman Old Style" w:cs="Arial"/>
          <w:b/>
          <w:bCs/>
          <w:i/>
          <w:iCs/>
          <w:sz w:val="28"/>
          <w:szCs w:val="28"/>
          <w:lang w:val="el-GR"/>
        </w:rPr>
        <w:t>Άρθρο 202Γ(1)</w:t>
      </w:r>
      <w:r>
        <w:rPr>
          <w:rFonts w:ascii="Bookman Old Style" w:hAnsi="Bookman Old Style" w:cs="Arial"/>
          <w:sz w:val="28"/>
          <w:szCs w:val="28"/>
          <w:lang w:val="el-GR"/>
        </w:rPr>
        <w:t xml:space="preserve"> του </w:t>
      </w:r>
      <w:r w:rsidRPr="000F7844">
        <w:rPr>
          <w:rFonts w:ascii="Bookman Old Style" w:hAnsi="Bookman Old Style" w:cs="Arial"/>
          <w:b/>
          <w:bCs/>
          <w:i/>
          <w:iCs/>
          <w:sz w:val="28"/>
          <w:szCs w:val="28"/>
          <w:lang w:val="el-GR"/>
        </w:rPr>
        <w:t>Κεφ.</w:t>
      </w:r>
      <w:r w:rsidR="00777029">
        <w:rPr>
          <w:rFonts w:ascii="Bookman Old Style" w:hAnsi="Bookman Old Style" w:cs="Arial"/>
          <w:b/>
          <w:bCs/>
          <w:i/>
          <w:iCs/>
          <w:sz w:val="28"/>
          <w:szCs w:val="28"/>
          <w:lang w:val="el-GR"/>
        </w:rPr>
        <w:t xml:space="preserve"> </w:t>
      </w:r>
      <w:r w:rsidRPr="000F7844">
        <w:rPr>
          <w:rFonts w:ascii="Bookman Old Style" w:hAnsi="Bookman Old Style" w:cs="Arial"/>
          <w:b/>
          <w:bCs/>
          <w:i/>
          <w:iCs/>
          <w:sz w:val="28"/>
          <w:szCs w:val="28"/>
          <w:lang w:val="el-GR"/>
        </w:rPr>
        <w:t>113</w:t>
      </w:r>
      <w:r>
        <w:rPr>
          <w:rFonts w:ascii="Bookman Old Style" w:hAnsi="Bookman Old Style" w:cs="Arial"/>
          <w:sz w:val="28"/>
          <w:szCs w:val="28"/>
          <w:lang w:val="el-GR"/>
        </w:rPr>
        <w:t xml:space="preserve">. </w:t>
      </w:r>
      <w:r w:rsidR="00821E50" w:rsidRPr="008862B7">
        <w:rPr>
          <w:rFonts w:ascii="Bookman Old Style" w:hAnsi="Bookman Old Style" w:cs="Arial"/>
          <w:sz w:val="28"/>
          <w:szCs w:val="28"/>
          <w:lang w:val="el-GR"/>
        </w:rPr>
        <w:t xml:space="preserve">Στην υπό </w:t>
      </w:r>
      <w:r>
        <w:rPr>
          <w:rFonts w:ascii="Bookman Old Style" w:hAnsi="Bookman Old Style" w:cs="Arial"/>
          <w:sz w:val="28"/>
          <w:szCs w:val="28"/>
          <w:lang w:val="el-GR"/>
        </w:rPr>
        <w:t>κρίση</w:t>
      </w:r>
      <w:r w:rsidR="00821E50" w:rsidRPr="008862B7">
        <w:rPr>
          <w:rFonts w:ascii="Bookman Old Style" w:hAnsi="Bookman Old Style" w:cs="Arial"/>
          <w:sz w:val="28"/>
          <w:szCs w:val="28"/>
          <w:lang w:val="el-GR"/>
        </w:rPr>
        <w:t xml:space="preserve"> περίπτωση</w:t>
      </w:r>
      <w:r w:rsidRPr="000F7844">
        <w:rPr>
          <w:rFonts w:ascii="Bookman Old Style" w:hAnsi="Bookman Old Style" w:cs="Arial"/>
          <w:sz w:val="28"/>
          <w:szCs w:val="28"/>
          <w:lang w:val="el-GR"/>
        </w:rPr>
        <w:t xml:space="preserve"> </w:t>
      </w:r>
      <w:r w:rsidRPr="008862B7">
        <w:rPr>
          <w:rFonts w:ascii="Bookman Old Style" w:hAnsi="Bookman Old Style" w:cs="Arial"/>
          <w:sz w:val="28"/>
          <w:szCs w:val="28"/>
          <w:lang w:val="el-GR"/>
        </w:rPr>
        <w:t>αυτό που επιδιώκετο</w:t>
      </w:r>
      <w:r w:rsidR="00821E50" w:rsidRPr="008862B7">
        <w:rPr>
          <w:rFonts w:ascii="Bookman Old Style" w:hAnsi="Bookman Old Style" w:cs="Arial"/>
          <w:sz w:val="28"/>
          <w:szCs w:val="28"/>
          <w:lang w:val="el-GR"/>
        </w:rPr>
        <w:t xml:space="preserve"> με τη μονομερή Αίτηση</w:t>
      </w:r>
      <w:r>
        <w:rPr>
          <w:rFonts w:ascii="Bookman Old Style" w:hAnsi="Bookman Old Style" w:cs="Arial"/>
          <w:sz w:val="28"/>
          <w:szCs w:val="28"/>
          <w:lang w:val="el-GR"/>
        </w:rPr>
        <w:t xml:space="preserve"> που καταχωρήθηκε</w:t>
      </w:r>
      <w:r w:rsidR="00821E50" w:rsidRPr="008862B7">
        <w:rPr>
          <w:rFonts w:ascii="Bookman Old Style" w:hAnsi="Bookman Old Style" w:cs="Arial"/>
          <w:sz w:val="28"/>
          <w:szCs w:val="28"/>
          <w:lang w:val="el-GR"/>
        </w:rPr>
        <w:t xml:space="preserve"> ήτο η έκδοση απαγορευτικού Διατάγματος που να διατάσσει τον </w:t>
      </w:r>
      <w:r>
        <w:rPr>
          <w:rFonts w:ascii="Bookman Old Style" w:hAnsi="Bookman Old Style" w:cs="Arial"/>
          <w:sz w:val="28"/>
          <w:szCs w:val="28"/>
          <w:lang w:val="el-GR"/>
        </w:rPr>
        <w:t>Π</w:t>
      </w:r>
      <w:r w:rsidR="00821E50" w:rsidRPr="008862B7">
        <w:rPr>
          <w:rFonts w:ascii="Bookman Old Style" w:hAnsi="Bookman Old Style" w:cs="Arial"/>
          <w:sz w:val="28"/>
          <w:szCs w:val="28"/>
          <w:lang w:val="el-GR"/>
        </w:rPr>
        <w:t>αραλήπτη/</w:t>
      </w:r>
      <w:r>
        <w:rPr>
          <w:rFonts w:ascii="Bookman Old Style" w:hAnsi="Bookman Old Style" w:cs="Arial"/>
          <w:sz w:val="28"/>
          <w:szCs w:val="28"/>
          <w:lang w:val="el-GR"/>
        </w:rPr>
        <w:t>Δ</w:t>
      </w:r>
      <w:r w:rsidR="00821E50" w:rsidRPr="008862B7">
        <w:rPr>
          <w:rFonts w:ascii="Bookman Old Style" w:hAnsi="Bookman Old Style" w:cs="Arial"/>
          <w:sz w:val="28"/>
          <w:szCs w:val="28"/>
          <w:lang w:val="el-GR"/>
        </w:rPr>
        <w:t>ιαχειριστή</w:t>
      </w:r>
      <w:r w:rsidR="0095010B">
        <w:rPr>
          <w:rFonts w:ascii="Bookman Old Style" w:hAnsi="Bookman Old Style" w:cs="Arial"/>
          <w:sz w:val="28"/>
          <w:szCs w:val="28"/>
          <w:lang w:val="el-GR"/>
        </w:rPr>
        <w:t>, ο οποίος διορίστηκε στις 16/11/2023 δυνάμει ομολόγου κυμαινόμενης επιβάρυνσης</w:t>
      </w:r>
      <w:r w:rsidR="00821E50" w:rsidRPr="008862B7">
        <w:rPr>
          <w:rFonts w:ascii="Bookman Old Style" w:hAnsi="Bookman Old Style" w:cs="Arial"/>
          <w:sz w:val="28"/>
          <w:szCs w:val="28"/>
          <w:lang w:val="el-GR"/>
        </w:rPr>
        <w:t>, «</w:t>
      </w:r>
      <w:r w:rsidR="00821E50" w:rsidRPr="008862B7">
        <w:rPr>
          <w:rFonts w:ascii="Bookman Old Style" w:hAnsi="Bookman Old Style" w:cs="Arial"/>
          <w:i/>
          <w:iCs/>
          <w:sz w:val="28"/>
          <w:szCs w:val="28"/>
          <w:lang w:val="el-GR"/>
        </w:rPr>
        <w:t xml:space="preserve">όπως παύσει </w:t>
      </w:r>
      <w:r w:rsidR="008862B7" w:rsidRPr="008862B7">
        <w:rPr>
          <w:rFonts w:ascii="Bookman Old Style" w:hAnsi="Bookman Old Style" w:cs="Arial"/>
          <w:i/>
          <w:iCs/>
          <w:sz w:val="28"/>
          <w:szCs w:val="28"/>
          <w:lang w:val="el-GR"/>
        </w:rPr>
        <w:t xml:space="preserve">να επεμβαίνει με οποιοδήποτε τρόπο σε οποιαδήποτε περιουσία των Εταιρειών </w:t>
      </w:r>
      <w:r w:rsidR="008862B7" w:rsidRPr="008862B7">
        <w:rPr>
          <w:rFonts w:ascii="Bookman Old Style" w:hAnsi="Bookman Old Style" w:cs="Arial"/>
          <w:i/>
          <w:iCs/>
          <w:sz w:val="28"/>
          <w:szCs w:val="28"/>
          <w:lang w:val="en-US"/>
        </w:rPr>
        <w:t>ALPHA</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PANARETI</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PUBLIC</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LTD</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H</w:t>
      </w:r>
      <w:r w:rsidR="008862B7" w:rsidRPr="008862B7">
        <w:rPr>
          <w:rFonts w:ascii="Bookman Old Style" w:hAnsi="Bookman Old Style" w:cs="Arial"/>
          <w:i/>
          <w:iCs/>
          <w:sz w:val="28"/>
          <w:szCs w:val="28"/>
          <w:lang w:val="el-GR"/>
        </w:rPr>
        <w:t>.</w:t>
      </w:r>
      <w:r w:rsidR="008862B7" w:rsidRPr="008862B7">
        <w:rPr>
          <w:rFonts w:ascii="Bookman Old Style" w:hAnsi="Bookman Old Style" w:cs="Arial"/>
          <w:i/>
          <w:iCs/>
          <w:sz w:val="28"/>
          <w:szCs w:val="28"/>
          <w:lang w:val="en-US"/>
        </w:rPr>
        <w:t>E</w:t>
      </w:r>
      <w:r w:rsidR="008862B7" w:rsidRPr="008862B7">
        <w:rPr>
          <w:rFonts w:ascii="Bookman Old Style" w:hAnsi="Bookman Old Style" w:cs="Arial"/>
          <w:i/>
          <w:iCs/>
          <w:sz w:val="28"/>
          <w:szCs w:val="28"/>
          <w:lang w:val="el-GR"/>
        </w:rPr>
        <w:t xml:space="preserve">. 34103) και </w:t>
      </w:r>
      <w:r w:rsidR="008862B7" w:rsidRPr="008862B7">
        <w:rPr>
          <w:rFonts w:ascii="Bookman Old Style" w:hAnsi="Bookman Old Style" w:cs="Arial"/>
          <w:i/>
          <w:iCs/>
          <w:sz w:val="28"/>
          <w:szCs w:val="28"/>
          <w:lang w:val="en-US"/>
        </w:rPr>
        <w:t>THE</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SUNSET</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BOULEVARD</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TOURIST</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AND</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ESTATE</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COMPANY</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LIMITED</w:t>
      </w:r>
      <w:r w:rsidR="008862B7" w:rsidRPr="008862B7">
        <w:rPr>
          <w:rFonts w:ascii="Bookman Old Style" w:hAnsi="Bookman Old Style" w:cs="Arial"/>
          <w:i/>
          <w:iCs/>
          <w:sz w:val="28"/>
          <w:szCs w:val="28"/>
          <w:lang w:val="el-GR"/>
        </w:rPr>
        <w:t xml:space="preserve"> (</w:t>
      </w:r>
      <w:r w:rsidR="008862B7" w:rsidRPr="008862B7">
        <w:rPr>
          <w:rFonts w:ascii="Bookman Old Style" w:hAnsi="Bookman Old Style" w:cs="Arial"/>
          <w:i/>
          <w:iCs/>
          <w:sz w:val="28"/>
          <w:szCs w:val="28"/>
          <w:lang w:val="en-US"/>
        </w:rPr>
        <w:t>H</w:t>
      </w:r>
      <w:r w:rsidR="008862B7" w:rsidRPr="008862B7">
        <w:rPr>
          <w:rFonts w:ascii="Bookman Old Style" w:hAnsi="Bookman Old Style" w:cs="Arial"/>
          <w:i/>
          <w:iCs/>
          <w:sz w:val="28"/>
          <w:szCs w:val="28"/>
          <w:lang w:val="el-GR"/>
        </w:rPr>
        <w:t>.</w:t>
      </w:r>
      <w:r w:rsidR="008862B7" w:rsidRPr="008862B7">
        <w:rPr>
          <w:rFonts w:ascii="Bookman Old Style" w:hAnsi="Bookman Old Style" w:cs="Arial"/>
          <w:i/>
          <w:iCs/>
          <w:sz w:val="28"/>
          <w:szCs w:val="28"/>
          <w:lang w:val="en-US"/>
        </w:rPr>
        <w:t>E</w:t>
      </w:r>
      <w:r w:rsidR="008862B7" w:rsidRPr="008862B7">
        <w:rPr>
          <w:rFonts w:ascii="Bookman Old Style" w:hAnsi="Bookman Old Style" w:cs="Arial"/>
          <w:i/>
          <w:iCs/>
          <w:sz w:val="28"/>
          <w:szCs w:val="28"/>
          <w:lang w:val="el-GR"/>
        </w:rPr>
        <w:t>. 3789) και/ή της επιχειρηματικής δραστηριότητας τους και/ή να παρακωλύει την εύρυθμη λειτουργία των Εταιρειών και/ή της επιχειρηματικής δραστηριότητας τους μέχρι εκδίκασης της υπό τον ως άνω αριθμό και τίτλο Γενικής Αίτησης και/ή μέχρι νεωτέρας διαταγής του Δικαστηρίου</w:t>
      </w:r>
      <w:r w:rsidR="008862B7" w:rsidRPr="008862B7">
        <w:rPr>
          <w:rFonts w:ascii="Bookman Old Style" w:hAnsi="Bookman Old Style" w:cs="Arial"/>
          <w:sz w:val="28"/>
          <w:szCs w:val="28"/>
          <w:lang w:val="el-GR"/>
        </w:rPr>
        <w:t>».</w:t>
      </w:r>
    </w:p>
    <w:p w14:paraId="2CEA08A4" w14:textId="77777777" w:rsidR="003B7261" w:rsidRDefault="003B7261" w:rsidP="000F7844">
      <w:pPr>
        <w:spacing w:line="480" w:lineRule="auto"/>
        <w:ind w:right="-35"/>
        <w:jc w:val="both"/>
        <w:rPr>
          <w:rFonts w:ascii="Bookman Old Style" w:hAnsi="Bookman Old Style" w:cs="Arial"/>
          <w:sz w:val="28"/>
          <w:szCs w:val="28"/>
          <w:lang w:val="el-GR"/>
        </w:rPr>
      </w:pPr>
    </w:p>
    <w:p w14:paraId="57DB055D" w14:textId="77777777" w:rsidR="00144069" w:rsidRPr="00821E50" w:rsidRDefault="00144069" w:rsidP="00144069">
      <w:pPr>
        <w:overflowPunct w:val="0"/>
        <w:spacing w:line="480" w:lineRule="auto"/>
        <w:ind w:right="62"/>
        <w:jc w:val="both"/>
        <w:rPr>
          <w:rFonts w:ascii="Bookman Old Style" w:hAnsi="Bookman Old Style"/>
          <w:sz w:val="28"/>
          <w:szCs w:val="28"/>
          <w:lang w:val="el-GR"/>
        </w:rPr>
      </w:pPr>
      <w:r w:rsidRPr="00821E50">
        <w:rPr>
          <w:rFonts w:ascii="Bookman Old Style" w:hAnsi="Bookman Old Style"/>
          <w:sz w:val="28"/>
          <w:szCs w:val="28"/>
          <w:lang w:val="el-GR"/>
        </w:rPr>
        <w:t>Ο προβαλλόμενος ισχυρισμός περί υπέρβασης και/ή έλλειψης εξουσίας και/ή δικαιοδοσίας δεν μπορεί, στην προκείμενη περίπτωση, να έχει οποιαδήποτε βάση. Όπως είναι νομολογημένο, «</w:t>
      </w:r>
      <w:r w:rsidRPr="00821E50">
        <w:rPr>
          <w:rFonts w:ascii="Bookman Old Style" w:hAnsi="Bookman Old Style"/>
          <w:i/>
          <w:iCs/>
          <w:sz w:val="28"/>
          <w:szCs w:val="28"/>
          <w:lang w:val="el-GR"/>
        </w:rPr>
        <w:t>εκεί που το Δικαστήριο έχει δικαιοδοσία να αποφασίσει ένα ζήτημα, δε θεωρείται ότι έχει εξέλθει του πεδίου της δικαιοδοσίας του απλώς και μόνο γιατί παρεμπιπτόντως ερμήνευσε λανθασμένα ένα νομοθέτημα</w:t>
      </w:r>
      <w:r w:rsidRPr="00821E50">
        <w:rPr>
          <w:rFonts w:ascii="Bookman Old Style" w:hAnsi="Bookman Old Style"/>
          <w:sz w:val="28"/>
          <w:szCs w:val="28"/>
          <w:lang w:val="el-GR"/>
        </w:rPr>
        <w:t>» (βλ</w:t>
      </w:r>
      <w:r w:rsidRPr="00821E50">
        <w:rPr>
          <w:rFonts w:ascii="Bookman Old Style" w:hAnsi="Bookman Old Style"/>
          <w:b/>
          <w:bCs/>
          <w:i/>
          <w:iCs/>
          <w:sz w:val="28"/>
          <w:szCs w:val="28"/>
          <w:lang w:val="el-GR"/>
        </w:rPr>
        <w:t>. Αναφορικά με την Αίτηση του Γεώργιου Πολυκάρπου (1991) 1 Α.Α.Δ 207</w:t>
      </w:r>
      <w:r w:rsidRPr="00821E50">
        <w:rPr>
          <w:rFonts w:ascii="Bookman Old Style" w:hAnsi="Bookman Old Style"/>
          <w:sz w:val="28"/>
          <w:szCs w:val="28"/>
          <w:lang w:val="el-GR"/>
        </w:rPr>
        <w:t>).</w:t>
      </w:r>
    </w:p>
    <w:p w14:paraId="46B69FB1" w14:textId="77777777" w:rsidR="00144069" w:rsidRPr="00821E50" w:rsidRDefault="00144069" w:rsidP="00144069">
      <w:pPr>
        <w:overflowPunct w:val="0"/>
        <w:spacing w:line="480" w:lineRule="auto"/>
        <w:ind w:right="62"/>
        <w:jc w:val="both"/>
        <w:rPr>
          <w:rFonts w:ascii="Bookman Old Style" w:hAnsi="Bookman Old Style"/>
          <w:sz w:val="28"/>
          <w:szCs w:val="28"/>
          <w:lang w:val="el-GR"/>
        </w:rPr>
      </w:pPr>
    </w:p>
    <w:p w14:paraId="6381E6DD" w14:textId="0CAE241D" w:rsidR="00144069" w:rsidRDefault="00144069" w:rsidP="00144069">
      <w:pPr>
        <w:overflowPunct w:val="0"/>
        <w:spacing w:line="480" w:lineRule="auto"/>
        <w:ind w:right="62"/>
        <w:jc w:val="both"/>
        <w:rPr>
          <w:rFonts w:ascii="Bookman Old Style" w:hAnsi="Bookman Old Style"/>
          <w:sz w:val="28"/>
          <w:szCs w:val="28"/>
        </w:rPr>
      </w:pPr>
      <w:r w:rsidRPr="00144069">
        <w:rPr>
          <w:rFonts w:ascii="Bookman Old Style" w:hAnsi="Bookman Old Style"/>
          <w:sz w:val="28"/>
          <w:szCs w:val="28"/>
        </w:rPr>
        <w:t xml:space="preserve">Όπως λέχθηκε στην υπόθεση </w:t>
      </w:r>
      <w:r w:rsidRPr="00144069">
        <w:rPr>
          <w:rFonts w:ascii="Bookman Old Style" w:hAnsi="Bookman Old Style"/>
          <w:b/>
          <w:bCs/>
          <w:i/>
          <w:iCs/>
          <w:sz w:val="28"/>
          <w:szCs w:val="28"/>
        </w:rPr>
        <w:t>R. v. Minister of Health [1938] 4 All E.R. 32</w:t>
      </w:r>
      <w:r w:rsidRPr="00144069">
        <w:rPr>
          <w:rFonts w:ascii="Bookman Old Style" w:hAnsi="Bookman Old Style"/>
          <w:sz w:val="28"/>
          <w:szCs w:val="28"/>
        </w:rPr>
        <w:t>:  </w:t>
      </w:r>
    </w:p>
    <w:p w14:paraId="7A3627E8" w14:textId="77777777" w:rsidR="00144069" w:rsidRPr="00144069" w:rsidRDefault="00144069" w:rsidP="00144069">
      <w:pPr>
        <w:overflowPunct w:val="0"/>
        <w:spacing w:line="480" w:lineRule="auto"/>
        <w:ind w:right="62"/>
        <w:jc w:val="both"/>
        <w:rPr>
          <w:rFonts w:ascii="Bookman Old Style" w:hAnsi="Bookman Old Style"/>
          <w:sz w:val="28"/>
          <w:szCs w:val="28"/>
        </w:rPr>
      </w:pPr>
    </w:p>
    <w:p w14:paraId="09828AD9" w14:textId="77777777" w:rsidR="00144069" w:rsidRDefault="00144069" w:rsidP="00144069">
      <w:pPr>
        <w:overflowPunct w:val="0"/>
        <w:spacing w:line="276" w:lineRule="auto"/>
        <w:ind w:left="426" w:right="390"/>
        <w:jc w:val="both"/>
        <w:rPr>
          <w:rFonts w:ascii="Bookman Old Style" w:hAnsi="Bookman Old Style"/>
          <w:sz w:val="26"/>
          <w:szCs w:val="26"/>
        </w:rPr>
      </w:pPr>
      <w:r w:rsidRPr="00144069">
        <w:rPr>
          <w:rFonts w:ascii="Bookman Old Style" w:hAnsi="Bookman Old Style"/>
          <w:i/>
          <w:iCs/>
          <w:sz w:val="26"/>
          <w:szCs w:val="26"/>
        </w:rPr>
        <w:t>“Where the proceedings are regular upon their face and the magistrates had jurisdiction, the superior court will not grant the writ of certiorari on the ground that the court below has misconceived a point of law. When the court below has jurisdiction to decide a matter, it cannot be deemed to exceed or abuse its jurisdiction, merely because it incidentally misconstrues a statute ………………..…</w:t>
      </w:r>
      <w:r w:rsidRPr="00144069">
        <w:rPr>
          <w:rFonts w:ascii="Bookman Old Style" w:hAnsi="Bookman Old Style"/>
          <w:sz w:val="26"/>
          <w:szCs w:val="26"/>
        </w:rPr>
        <w:t>.”</w:t>
      </w:r>
    </w:p>
    <w:p w14:paraId="28E6B445" w14:textId="77777777" w:rsidR="00144069" w:rsidRDefault="00144069" w:rsidP="00144069">
      <w:pPr>
        <w:overflowPunct w:val="0"/>
        <w:spacing w:line="276" w:lineRule="auto"/>
        <w:ind w:left="426" w:right="390"/>
        <w:jc w:val="both"/>
        <w:rPr>
          <w:rFonts w:ascii="Bookman Old Style" w:hAnsi="Bookman Old Style"/>
          <w:sz w:val="26"/>
          <w:szCs w:val="26"/>
        </w:rPr>
      </w:pPr>
    </w:p>
    <w:p w14:paraId="1B4E2D4C" w14:textId="77777777" w:rsidR="00144069" w:rsidRPr="001E24B2" w:rsidRDefault="00144069" w:rsidP="001E24B2">
      <w:pPr>
        <w:overflowPunct w:val="0"/>
        <w:spacing w:line="480" w:lineRule="auto"/>
        <w:ind w:left="426" w:right="390"/>
        <w:jc w:val="both"/>
        <w:rPr>
          <w:rFonts w:ascii="Bookman Old Style" w:hAnsi="Bookman Old Style"/>
          <w:sz w:val="28"/>
          <w:szCs w:val="28"/>
        </w:rPr>
      </w:pPr>
    </w:p>
    <w:p w14:paraId="6CD11DF6" w14:textId="3D01B60F" w:rsidR="001E24B2" w:rsidRPr="001E24B2" w:rsidRDefault="001E24B2" w:rsidP="001E24B2">
      <w:pPr>
        <w:overflowPunct w:val="0"/>
        <w:spacing w:line="480" w:lineRule="auto"/>
        <w:ind w:right="107"/>
        <w:jc w:val="both"/>
        <w:rPr>
          <w:rFonts w:ascii="Bookman Old Style" w:hAnsi="Bookman Old Style"/>
          <w:sz w:val="28"/>
          <w:szCs w:val="28"/>
          <w:lang w:val="el-GR"/>
        </w:rPr>
      </w:pPr>
      <w:r w:rsidRPr="001E24B2">
        <w:rPr>
          <w:rFonts w:ascii="Bookman Old Style" w:hAnsi="Bookman Old Style"/>
          <w:sz w:val="28"/>
          <w:szCs w:val="28"/>
          <w:lang w:val="el-GR"/>
        </w:rPr>
        <w:t xml:space="preserve">Όπως είναι νομολογημένο, Ένταλμα της φύσης </w:t>
      </w:r>
      <w:r w:rsidRPr="001E24B2">
        <w:rPr>
          <w:rFonts w:ascii="Bookman Old Style" w:hAnsi="Bookman Old Style"/>
          <w:i/>
          <w:iCs/>
          <w:sz w:val="28"/>
          <w:szCs w:val="28"/>
        </w:rPr>
        <w:t>Certiorari</w:t>
      </w:r>
      <w:r w:rsidRPr="001E24B2">
        <w:rPr>
          <w:rFonts w:ascii="Bookman Old Style" w:hAnsi="Bookman Old Style"/>
          <w:sz w:val="28"/>
          <w:szCs w:val="28"/>
          <w:lang w:val="el-GR"/>
        </w:rPr>
        <w:t xml:space="preserve"> μπορεί να εκδοθεί όταν έχει εμφιλοχωρήσει νομικό ελάττωμα εμφανές από τη δικογραφία, η ευχέρεια όμως αυτή δεν καλύπτει και τις νομικά εσφαλμένες αποφάσεις. Καλύπτει τις περιπτώσεις στις οποίες υπάρχει φανερά εσφαλμένη ερμηνεία νόμου ή εσφαλμένη εφαρμογή του σε δεδομένη περίπτωση. Δεν είναι αρκετό να υπάρχει σοβαρή </w:t>
      </w:r>
      <w:r w:rsidRPr="002E3336">
        <w:rPr>
          <w:rFonts w:ascii="Bookman Old Style" w:hAnsi="Bookman Old Style"/>
          <w:sz w:val="28"/>
          <w:szCs w:val="28"/>
          <w:lang w:val="el-GR"/>
        </w:rPr>
        <w:t>πλάνη ή ακόμα και πλάνη σε σχέση με καθιερωμένη νομική αρχή (</w:t>
      </w:r>
      <w:r w:rsidRPr="002E3336">
        <w:rPr>
          <w:rFonts w:ascii="Bookman Old Style" w:hAnsi="Bookman Old Style"/>
          <w:b/>
          <w:bCs/>
          <w:i/>
          <w:iCs/>
          <w:sz w:val="28"/>
          <w:szCs w:val="28"/>
          <w:lang w:val="el-GR"/>
        </w:rPr>
        <w:t>Watford Petroleum Ukraine Holdings Ltd (2003) 1 Α.Α.Δ. 620</w:t>
      </w:r>
      <w:r w:rsidRPr="002E3336">
        <w:rPr>
          <w:rFonts w:ascii="Bookman Old Style" w:hAnsi="Bookman Old Style"/>
          <w:sz w:val="28"/>
          <w:szCs w:val="28"/>
          <w:lang w:val="el-GR"/>
        </w:rPr>
        <w:t>). Πρέπει να υπάρχει πλάνη που μπορεί να διακριβωθεί από το Δικαστήριο αμέσως</w:t>
      </w:r>
      <w:r w:rsidRPr="001E24B2">
        <w:rPr>
          <w:rFonts w:ascii="Bookman Old Style" w:hAnsi="Bookman Old Style"/>
          <w:sz w:val="28"/>
          <w:szCs w:val="28"/>
          <w:lang w:val="el-GR"/>
        </w:rPr>
        <w:t xml:space="preserve"> και όχι ύστερα από έρευνα των στοιχείων ή της μαρτυρίας (</w:t>
      </w:r>
      <w:r w:rsidRPr="001E24B2">
        <w:rPr>
          <w:rFonts w:ascii="Bookman Old Style" w:hAnsi="Bookman Old Style"/>
          <w:b/>
          <w:bCs/>
          <w:i/>
          <w:iCs/>
          <w:sz w:val="28"/>
          <w:szCs w:val="28"/>
          <w:lang w:val="el-GR"/>
        </w:rPr>
        <w:t xml:space="preserve">Αναφορικά με την Αίτηση της Εταιρείας Ξάνθος Λυσιώτης και Υιός Λτδ (1996) </w:t>
      </w:r>
      <w:r w:rsidR="00383721">
        <w:rPr>
          <w:rFonts w:ascii="Bookman Old Style" w:hAnsi="Bookman Old Style"/>
          <w:b/>
          <w:bCs/>
          <w:i/>
          <w:iCs/>
          <w:sz w:val="28"/>
          <w:szCs w:val="28"/>
          <w:lang w:val="el-GR"/>
        </w:rPr>
        <w:t xml:space="preserve">                </w:t>
      </w:r>
      <w:r w:rsidRPr="001E24B2">
        <w:rPr>
          <w:rFonts w:ascii="Bookman Old Style" w:hAnsi="Bookman Old Style"/>
          <w:b/>
          <w:bCs/>
          <w:i/>
          <w:iCs/>
          <w:sz w:val="28"/>
          <w:szCs w:val="28"/>
          <w:lang w:val="el-GR"/>
        </w:rPr>
        <w:t>1 Α.Α.Δ. 1066</w:t>
      </w:r>
      <w:r w:rsidRPr="001E24B2">
        <w:rPr>
          <w:rFonts w:ascii="Bookman Old Style" w:hAnsi="Bookman Old Style"/>
          <w:sz w:val="28"/>
          <w:szCs w:val="28"/>
          <w:lang w:val="el-GR"/>
        </w:rPr>
        <w:t>).</w:t>
      </w:r>
    </w:p>
    <w:p w14:paraId="3EE99F77" w14:textId="77777777" w:rsidR="001E24B2" w:rsidRPr="001E24B2" w:rsidRDefault="001E24B2" w:rsidP="001E24B2">
      <w:pPr>
        <w:overflowPunct w:val="0"/>
        <w:spacing w:line="480" w:lineRule="auto"/>
        <w:ind w:right="390"/>
        <w:jc w:val="both"/>
        <w:rPr>
          <w:rFonts w:ascii="Bookman Old Style" w:hAnsi="Bookman Old Style"/>
          <w:sz w:val="28"/>
          <w:szCs w:val="28"/>
          <w:lang w:val="el-GR"/>
        </w:rPr>
      </w:pPr>
    </w:p>
    <w:p w14:paraId="5AAA9700" w14:textId="5D838400" w:rsidR="00144069" w:rsidRPr="00EB6E41" w:rsidRDefault="00144069" w:rsidP="00144069">
      <w:pPr>
        <w:overflowPunct w:val="0"/>
        <w:spacing w:line="480" w:lineRule="auto"/>
        <w:ind w:right="62"/>
        <w:jc w:val="both"/>
        <w:rPr>
          <w:rFonts w:ascii="Bookman Old Style" w:hAnsi="Bookman Old Style" w:cs="Arial"/>
          <w:sz w:val="28"/>
          <w:szCs w:val="28"/>
          <w:lang w:val="en-US"/>
        </w:rPr>
      </w:pPr>
      <w:r w:rsidRPr="00821E50">
        <w:rPr>
          <w:rFonts w:ascii="Bookman Old Style" w:hAnsi="Bookman Old Style"/>
          <w:sz w:val="28"/>
          <w:szCs w:val="28"/>
          <w:lang w:val="el-GR"/>
        </w:rPr>
        <w:t>Είναι πρόδηλο ότι μέσω της προβολής της υπέρβασης και/ή έλλειψης εξουσίας και/ή δικαιοδοσίας, ό,τι εν προκειμένω επιδιώκεται είναι ο έλεγχος της ορθότητας της Απόφασης του Κατώτερου Δικαστηρίου. Τα όσα ο</w:t>
      </w:r>
      <w:r w:rsidR="00777029">
        <w:rPr>
          <w:rFonts w:ascii="Bookman Old Style" w:hAnsi="Bookman Old Style"/>
          <w:sz w:val="28"/>
          <w:szCs w:val="28"/>
          <w:lang w:val="el-GR"/>
        </w:rPr>
        <w:t>ι</w:t>
      </w:r>
      <w:r w:rsidRPr="00821E50">
        <w:rPr>
          <w:rFonts w:ascii="Bookman Old Style" w:hAnsi="Bookman Old Style"/>
          <w:sz w:val="28"/>
          <w:szCs w:val="28"/>
          <w:lang w:val="el-GR"/>
        </w:rPr>
        <w:t xml:space="preserve"> Αιτητ</w:t>
      </w:r>
      <w:r w:rsidR="00777029">
        <w:rPr>
          <w:rFonts w:ascii="Bookman Old Style" w:hAnsi="Bookman Old Style"/>
          <w:sz w:val="28"/>
          <w:szCs w:val="28"/>
          <w:lang w:val="el-GR"/>
        </w:rPr>
        <w:t>έ</w:t>
      </w:r>
      <w:r w:rsidRPr="00821E50">
        <w:rPr>
          <w:rFonts w:ascii="Bookman Old Style" w:hAnsi="Bookman Old Style"/>
          <w:sz w:val="28"/>
          <w:szCs w:val="28"/>
          <w:lang w:val="el-GR"/>
        </w:rPr>
        <w:t>ς επικαλ</w:t>
      </w:r>
      <w:r w:rsidR="00777029">
        <w:rPr>
          <w:rFonts w:ascii="Bookman Old Style" w:hAnsi="Bookman Old Style"/>
          <w:sz w:val="28"/>
          <w:szCs w:val="28"/>
          <w:lang w:val="el-GR"/>
        </w:rPr>
        <w:t>ούν</w:t>
      </w:r>
      <w:r w:rsidRPr="00821E50">
        <w:rPr>
          <w:rFonts w:ascii="Bookman Old Style" w:hAnsi="Bookman Old Style"/>
          <w:sz w:val="28"/>
          <w:szCs w:val="28"/>
          <w:lang w:val="el-GR"/>
        </w:rPr>
        <w:t>ται, με κάθε σεβασμό, δεν στοιχειοθετούν ούτε για σκοπούς παροχής άδειας ότι το Κατώτερο Δικαστήριο ενήργησε καθ’ υπέρβαση δικαιοδοσίας ή κατά άλλο τρόπο που να καθιστά την απόφαση του ελεγχόμενη ως προς τη νομιμότητα της. Όσα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w:t>
      </w:r>
      <w:r w:rsidR="002E3336" w:rsidRPr="002E3336">
        <w:rPr>
          <w:lang w:val="el-GR"/>
        </w:rPr>
        <w:t xml:space="preserve"> </w:t>
      </w:r>
      <w:r w:rsidR="002E3336" w:rsidRPr="003B7261">
        <w:rPr>
          <w:rFonts w:ascii="Bookman Old Style" w:hAnsi="Bookman Old Style" w:cs="Arial"/>
          <w:sz w:val="28"/>
          <w:szCs w:val="28"/>
          <w:lang w:val="el-GR"/>
        </w:rPr>
        <w:t>Δεν θα συνιστούσε, όμως, ακόμη και αν το Κατώτερο Δικαστήριο είχε ασκήσει εσφαλμένα την κρίση του, απόφαση η οποία στερείτο νομιμότητας.</w:t>
      </w:r>
      <w:r w:rsidR="002E3336" w:rsidRPr="003B7261">
        <w:rPr>
          <w:rFonts w:ascii="Bookman Old Style" w:hAnsi="Bookman Old Style"/>
          <w:lang w:val="el-GR"/>
        </w:rPr>
        <w:t xml:space="preserve"> </w:t>
      </w:r>
      <w:r w:rsidR="002E3336" w:rsidRPr="003B7261">
        <w:rPr>
          <w:rFonts w:ascii="Bookman Old Style" w:hAnsi="Bookman Old Style" w:cs="Arial"/>
          <w:sz w:val="28"/>
          <w:szCs w:val="28"/>
          <w:lang w:val="el-GR"/>
        </w:rPr>
        <w:t xml:space="preserve">Εν προκειμένω, στην πραγματικότητα ό,τι επιδιώκεται, υπό το μανδύα της προνομιακής θεραπείας, είναι ο έλεγχος της </w:t>
      </w:r>
      <w:r w:rsidR="0012697D" w:rsidRPr="003B7261">
        <w:rPr>
          <w:rFonts w:ascii="Bookman Old Style" w:hAnsi="Bookman Old Style" w:cs="Arial"/>
          <w:sz w:val="28"/>
          <w:szCs w:val="28"/>
          <w:lang w:val="el-GR"/>
        </w:rPr>
        <w:t xml:space="preserve">ορθότητας της </w:t>
      </w:r>
      <w:r w:rsidR="002E3336" w:rsidRPr="003B7261">
        <w:rPr>
          <w:rFonts w:ascii="Bookman Old Style" w:hAnsi="Bookman Old Style" w:cs="Arial"/>
          <w:sz w:val="28"/>
          <w:szCs w:val="28"/>
          <w:lang w:val="el-GR"/>
        </w:rPr>
        <w:t>απόφασης και αντικατάσταση της κρίσης που είτε ορθά, είτε λανθασμένα διαμόρφωσε το Κατώτερο Δικαστήριο</w:t>
      </w:r>
      <w:r w:rsidR="005E6C8D" w:rsidRPr="003B7261">
        <w:rPr>
          <w:rFonts w:ascii="Bookman Old Style" w:hAnsi="Bookman Old Style" w:cs="Arial"/>
          <w:sz w:val="28"/>
          <w:szCs w:val="28"/>
          <w:lang w:val="el-GR"/>
        </w:rPr>
        <w:t>.</w:t>
      </w:r>
      <w:r w:rsidRPr="003B7261">
        <w:rPr>
          <w:rFonts w:ascii="Bookman Old Style" w:hAnsi="Bookman Old Style"/>
          <w:sz w:val="28"/>
          <w:szCs w:val="28"/>
          <w:lang w:val="el-GR"/>
        </w:rPr>
        <w:t xml:space="preserve"> </w:t>
      </w:r>
      <w:r w:rsidRPr="003B7261">
        <w:rPr>
          <w:rFonts w:ascii="Bookman Old Style" w:hAnsi="Bookman Old Style" w:cs="Arial"/>
          <w:sz w:val="28"/>
          <w:szCs w:val="28"/>
          <w:lang w:val="el-GR"/>
        </w:rPr>
        <w:t xml:space="preserve">Όπως αναφέρεται στη νομολογία, τυχόν λανθασμένη ερμηνεία νόμου ή λανθασμένη αντίληψη του Δικαστηρίου δεν ελέγχεται με Προνομιακό Ένταλμα </w:t>
      </w:r>
      <w:r w:rsidRPr="003B7261">
        <w:rPr>
          <w:rFonts w:ascii="Bookman Old Style" w:hAnsi="Bookman Old Style" w:cs="Arial"/>
          <w:i/>
          <w:iCs/>
          <w:sz w:val="28"/>
          <w:szCs w:val="28"/>
        </w:rPr>
        <w:t>Certiorari</w:t>
      </w:r>
      <w:r w:rsidRPr="003B7261">
        <w:rPr>
          <w:rFonts w:ascii="Bookman Old Style" w:hAnsi="Bookman Old Style" w:cs="Arial"/>
          <w:sz w:val="28"/>
          <w:szCs w:val="28"/>
          <w:lang w:val="el-GR"/>
        </w:rPr>
        <w:t xml:space="preserve">, αλλά ελέγχεται ως προς την ορθότητα της με το ένδικο μέσο της έφεσης (βλ. </w:t>
      </w:r>
      <w:r w:rsidRPr="003B7261">
        <w:rPr>
          <w:rFonts w:ascii="Bookman Old Style" w:hAnsi="Bookman Old Style" w:cs="Arial"/>
          <w:i/>
          <w:iCs/>
          <w:sz w:val="28"/>
          <w:szCs w:val="28"/>
          <w:lang w:val="el-GR"/>
        </w:rPr>
        <w:t>Πέτρου Αρτέμη: Προνομιακά Εντάλματα</w:t>
      </w:r>
      <w:r w:rsidRPr="003B7261">
        <w:rPr>
          <w:rFonts w:ascii="Bookman Old Style" w:hAnsi="Bookman Old Style" w:cs="Arial"/>
          <w:sz w:val="28"/>
          <w:szCs w:val="28"/>
          <w:lang w:val="el-GR"/>
        </w:rPr>
        <w:t xml:space="preserve">, σελ. 127-128, </w:t>
      </w:r>
      <w:r w:rsidRPr="003B7261">
        <w:rPr>
          <w:rFonts w:ascii="Bookman Old Style" w:hAnsi="Bookman Old Style" w:cs="Arial"/>
          <w:b/>
          <w:bCs/>
          <w:i/>
          <w:iCs/>
          <w:sz w:val="28"/>
          <w:szCs w:val="28"/>
          <w:lang w:val="el-GR"/>
        </w:rPr>
        <w:t xml:space="preserve">Αίτηση της Μουστερή κ.ά., Πολιτική Αίτηση Αρ. 150/2017, ημερ. 24/10/2017, Αίτηση της </w:t>
      </w:r>
      <w:r w:rsidRPr="003B7261">
        <w:rPr>
          <w:rFonts w:ascii="Bookman Old Style" w:hAnsi="Bookman Old Style" w:cs="Arial"/>
          <w:b/>
          <w:bCs/>
          <w:i/>
          <w:iCs/>
          <w:sz w:val="28"/>
          <w:szCs w:val="28"/>
        </w:rPr>
        <w:t>Content</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Union</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rPr>
        <w:t>S</w:t>
      </w:r>
      <w:r w:rsidRPr="003B7261">
        <w:rPr>
          <w:rFonts w:ascii="Bookman Old Style" w:hAnsi="Bookman Old Style" w:cs="Arial"/>
          <w:b/>
          <w:bCs/>
          <w:i/>
          <w:iCs/>
          <w:sz w:val="28"/>
          <w:szCs w:val="28"/>
          <w:lang w:val="el-GR"/>
        </w:rPr>
        <w:t>.</w:t>
      </w:r>
      <w:r w:rsidRPr="003B7261">
        <w:rPr>
          <w:rFonts w:ascii="Bookman Old Style" w:hAnsi="Bookman Old Style" w:cs="Arial"/>
          <w:b/>
          <w:bCs/>
          <w:i/>
          <w:iCs/>
          <w:sz w:val="28"/>
          <w:szCs w:val="28"/>
        </w:rPr>
        <w:t>A</w:t>
      </w:r>
      <w:r w:rsidRPr="003B7261">
        <w:rPr>
          <w:rFonts w:ascii="Bookman Old Style" w:hAnsi="Bookman Old Style" w:cs="Arial"/>
          <w:b/>
          <w:bCs/>
          <w:i/>
          <w:iCs/>
          <w:sz w:val="28"/>
          <w:szCs w:val="28"/>
          <w:lang w:val="el-GR"/>
        </w:rPr>
        <w:t xml:space="preserve">., Πολιτική Αίτηση Αρ. 64/2018, ημερ. 11/6/2018 </w:t>
      </w:r>
      <w:r w:rsidRPr="003B7261">
        <w:rPr>
          <w:rFonts w:ascii="Bookman Old Style" w:hAnsi="Bookman Old Style" w:cs="Arial"/>
          <w:sz w:val="28"/>
          <w:szCs w:val="28"/>
          <w:lang w:val="el-GR"/>
        </w:rPr>
        <w:t xml:space="preserve">και </w:t>
      </w:r>
      <w:r w:rsidRPr="003B7261">
        <w:rPr>
          <w:rFonts w:ascii="Bookman Old Style" w:hAnsi="Bookman Old Style" w:cs="Arial"/>
          <w:b/>
          <w:bCs/>
          <w:i/>
          <w:iCs/>
          <w:sz w:val="28"/>
          <w:szCs w:val="28"/>
          <w:lang w:val="el-GR"/>
        </w:rPr>
        <w:t>Αίτηση Γενικού Εισαγγελέα, Πολιτική Αίτηση Αρ. 24/2020, ημερ. 10/3/2020</w:t>
      </w:r>
      <w:r w:rsidRPr="003B7261">
        <w:rPr>
          <w:rFonts w:ascii="Bookman Old Style" w:hAnsi="Bookman Old Style" w:cs="Arial"/>
          <w:sz w:val="28"/>
          <w:szCs w:val="28"/>
          <w:lang w:val="el-GR"/>
        </w:rPr>
        <w:t>).</w:t>
      </w:r>
      <w:r w:rsidR="00777029">
        <w:rPr>
          <w:rFonts w:ascii="Bookman Old Style" w:hAnsi="Bookman Old Style" w:cs="Arial"/>
          <w:sz w:val="28"/>
          <w:szCs w:val="28"/>
          <w:lang w:val="el-GR"/>
        </w:rPr>
        <w:t xml:space="preserve"> Τ</w:t>
      </w:r>
      <w:r w:rsidRPr="003B7261">
        <w:rPr>
          <w:rFonts w:ascii="Bookman Old Style" w:hAnsi="Bookman Old Style" w:cs="Arial"/>
          <w:sz w:val="28"/>
          <w:szCs w:val="28"/>
          <w:lang w:val="el-GR"/>
        </w:rPr>
        <w:t xml:space="preserve">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 </w:t>
      </w:r>
      <w:r w:rsidRPr="003B7261">
        <w:rPr>
          <w:rFonts w:ascii="Bookman Old Style" w:hAnsi="Bookman Old Style" w:cs="Arial"/>
          <w:b/>
          <w:bCs/>
          <w:i/>
          <w:iCs/>
          <w:sz w:val="28"/>
          <w:szCs w:val="28"/>
        </w:rPr>
        <w:t>Marewave</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rPr>
        <w:t>Shipping</w:t>
      </w:r>
      <w:r w:rsidRPr="00EB6E41">
        <w:rPr>
          <w:rFonts w:ascii="Bookman Old Style" w:hAnsi="Bookman Old Style" w:cs="Arial"/>
          <w:b/>
          <w:bCs/>
          <w:i/>
          <w:iCs/>
          <w:sz w:val="28"/>
          <w:szCs w:val="28"/>
          <w:lang w:val="en-US"/>
        </w:rPr>
        <w:t xml:space="preserve"> &amp; </w:t>
      </w:r>
      <w:r w:rsidRPr="003B7261">
        <w:rPr>
          <w:rFonts w:ascii="Bookman Old Style" w:hAnsi="Bookman Old Style" w:cs="Arial"/>
          <w:b/>
          <w:bCs/>
          <w:i/>
          <w:iCs/>
          <w:sz w:val="28"/>
          <w:szCs w:val="28"/>
        </w:rPr>
        <w:t>Trading</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rPr>
        <w:t>Company</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rPr>
        <w:t>Ltd</w:t>
      </w:r>
      <w:r w:rsidRPr="00EB6E41">
        <w:rPr>
          <w:rFonts w:ascii="Bookman Old Style" w:hAnsi="Bookman Old Style" w:cs="Arial"/>
          <w:b/>
          <w:bCs/>
          <w:i/>
          <w:iCs/>
          <w:sz w:val="28"/>
          <w:szCs w:val="28"/>
          <w:lang w:val="en-US"/>
        </w:rPr>
        <w:t xml:space="preserve"> (1992) 1 </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Δ</w:t>
      </w:r>
      <w:r w:rsidRPr="00EB6E41">
        <w:rPr>
          <w:rFonts w:ascii="Bookman Old Style" w:hAnsi="Bookman Old Style" w:cs="Arial"/>
          <w:b/>
          <w:bCs/>
          <w:i/>
          <w:iCs/>
          <w:sz w:val="28"/>
          <w:szCs w:val="28"/>
          <w:lang w:val="en-US"/>
        </w:rPr>
        <w:t xml:space="preserve">. 116, </w:t>
      </w:r>
      <w:r w:rsidRPr="003B7261">
        <w:rPr>
          <w:rFonts w:ascii="Bookman Old Style" w:hAnsi="Bookman Old Style" w:cs="Arial"/>
          <w:b/>
          <w:bCs/>
          <w:i/>
          <w:iCs/>
          <w:sz w:val="28"/>
          <w:szCs w:val="28"/>
          <w:lang w:val="el-GR"/>
        </w:rPr>
        <w:t>Γενικός</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lang w:val="el-GR"/>
        </w:rPr>
        <w:t>Εισαγγελέας</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lang w:val="el-GR"/>
        </w:rPr>
        <w:t>Αρ</w:t>
      </w:r>
      <w:r w:rsidRPr="00EB6E41">
        <w:rPr>
          <w:rFonts w:ascii="Bookman Old Style" w:hAnsi="Bookman Old Style" w:cs="Arial"/>
          <w:b/>
          <w:bCs/>
          <w:i/>
          <w:iCs/>
          <w:sz w:val="28"/>
          <w:szCs w:val="28"/>
          <w:lang w:val="en-US"/>
        </w:rPr>
        <w:t xml:space="preserve">. 3) (1993) 1 </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Δ</w:t>
      </w:r>
      <w:r w:rsidRPr="00EB6E41">
        <w:rPr>
          <w:rFonts w:ascii="Bookman Old Style" w:hAnsi="Bookman Old Style" w:cs="Arial"/>
          <w:b/>
          <w:bCs/>
          <w:i/>
          <w:iCs/>
          <w:sz w:val="28"/>
          <w:szCs w:val="28"/>
          <w:lang w:val="en-US"/>
        </w:rPr>
        <w:t>. 42</w:t>
      </w:r>
      <w:r w:rsidRPr="00EB6E41">
        <w:rPr>
          <w:rFonts w:ascii="Bookman Old Style" w:hAnsi="Bookman Old Style" w:cs="Arial"/>
          <w:sz w:val="28"/>
          <w:szCs w:val="28"/>
          <w:lang w:val="en-US"/>
        </w:rPr>
        <w:t xml:space="preserve"> </w:t>
      </w:r>
      <w:r w:rsidRPr="003B7261">
        <w:rPr>
          <w:rFonts w:ascii="Bookman Old Style" w:hAnsi="Bookman Old Style" w:cs="Arial"/>
          <w:sz w:val="28"/>
          <w:szCs w:val="28"/>
          <w:lang w:val="el-GR"/>
        </w:rPr>
        <w:t>και</w:t>
      </w:r>
      <w:r w:rsidRPr="00EB6E41">
        <w:rPr>
          <w:rFonts w:ascii="Bookman Old Style" w:hAnsi="Bookman Old Style" w:cs="Arial"/>
          <w:sz w:val="28"/>
          <w:szCs w:val="28"/>
          <w:lang w:val="en-US"/>
        </w:rPr>
        <w:t xml:space="preserve"> </w:t>
      </w:r>
      <w:r w:rsidRPr="003B7261">
        <w:rPr>
          <w:rFonts w:ascii="Bookman Old Style" w:hAnsi="Bookman Old Style" w:cs="Arial"/>
          <w:b/>
          <w:bCs/>
          <w:i/>
          <w:iCs/>
          <w:sz w:val="28"/>
          <w:szCs w:val="28"/>
        </w:rPr>
        <w:t>Daventree</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rPr>
        <w:t>Trustees</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rPr>
        <w:t>Ltd</w:t>
      </w:r>
      <w:r w:rsidRPr="00EB6E41">
        <w:rPr>
          <w:rFonts w:ascii="Bookman Old Style" w:hAnsi="Bookman Old Style" w:cs="Arial"/>
          <w:b/>
          <w:bCs/>
          <w:i/>
          <w:iCs/>
          <w:sz w:val="28"/>
          <w:szCs w:val="28"/>
          <w:lang w:val="en-US"/>
        </w:rPr>
        <w:t xml:space="preserve"> (2005) 1(</w:t>
      </w:r>
      <w:r w:rsidRPr="003B7261">
        <w:rPr>
          <w:rFonts w:ascii="Bookman Old Style" w:hAnsi="Bookman Old Style" w:cs="Arial"/>
          <w:b/>
          <w:bCs/>
          <w:i/>
          <w:iCs/>
          <w:sz w:val="28"/>
          <w:szCs w:val="28"/>
        </w:rPr>
        <w:t>A</w:t>
      </w:r>
      <w:r w:rsidRPr="00EB6E41">
        <w:rPr>
          <w:rFonts w:ascii="Bookman Old Style" w:hAnsi="Bookman Old Style" w:cs="Arial"/>
          <w:b/>
          <w:bCs/>
          <w:i/>
          <w:iCs/>
          <w:sz w:val="28"/>
          <w:szCs w:val="28"/>
          <w:lang w:val="en-US"/>
        </w:rPr>
        <w:t xml:space="preserve">) </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Α</w:t>
      </w:r>
      <w:r w:rsidRPr="00EB6E41">
        <w:rPr>
          <w:rFonts w:ascii="Bookman Old Style" w:hAnsi="Bookman Old Style" w:cs="Arial"/>
          <w:b/>
          <w:bCs/>
          <w:i/>
          <w:iCs/>
          <w:sz w:val="28"/>
          <w:szCs w:val="28"/>
          <w:lang w:val="en-US"/>
        </w:rPr>
        <w:t>.</w:t>
      </w:r>
      <w:r w:rsidRPr="003B7261">
        <w:rPr>
          <w:rFonts w:ascii="Bookman Old Style" w:hAnsi="Bookman Old Style" w:cs="Arial"/>
          <w:b/>
          <w:bCs/>
          <w:i/>
          <w:iCs/>
          <w:sz w:val="28"/>
          <w:szCs w:val="28"/>
          <w:lang w:val="el-GR"/>
        </w:rPr>
        <w:t>Δ</w:t>
      </w:r>
      <w:r w:rsidRPr="00EB6E41">
        <w:rPr>
          <w:rFonts w:ascii="Bookman Old Style" w:hAnsi="Bookman Old Style" w:cs="Arial"/>
          <w:b/>
          <w:bCs/>
          <w:i/>
          <w:iCs/>
          <w:sz w:val="28"/>
          <w:szCs w:val="28"/>
          <w:lang w:val="en-US"/>
        </w:rPr>
        <w:t>. 712</w:t>
      </w:r>
      <w:r w:rsidRPr="00EB6E41">
        <w:rPr>
          <w:rFonts w:ascii="Bookman Old Style" w:hAnsi="Bookman Old Style" w:cs="Arial"/>
          <w:sz w:val="28"/>
          <w:szCs w:val="28"/>
          <w:lang w:val="en-US"/>
        </w:rPr>
        <w:t>).</w:t>
      </w:r>
    </w:p>
    <w:p w14:paraId="7904AF39" w14:textId="77777777" w:rsidR="003E48DF" w:rsidRPr="00EB6E41" w:rsidRDefault="003E48DF" w:rsidP="00144069">
      <w:pPr>
        <w:overflowPunct w:val="0"/>
        <w:spacing w:line="480" w:lineRule="auto"/>
        <w:ind w:right="62"/>
        <w:jc w:val="both"/>
        <w:rPr>
          <w:rFonts w:ascii="Bookman Old Style" w:hAnsi="Bookman Old Style"/>
          <w:sz w:val="28"/>
          <w:szCs w:val="28"/>
          <w:lang w:val="en-US"/>
        </w:rPr>
      </w:pPr>
    </w:p>
    <w:p w14:paraId="209EF79C" w14:textId="09A24E94" w:rsidR="00144069" w:rsidRPr="003B7261" w:rsidRDefault="00144069" w:rsidP="00144069">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lang w:val="el-GR"/>
        </w:rPr>
        <w:t>Επιπλέον, θα πρέπει να σημειωθεί ότι η προσβαλλόμενη Απόφαση του Κατώτερου Δικαστηρίου μπορεί κάλλιστα να αποτελέσει αντικείμενο έφεσης.</w:t>
      </w:r>
    </w:p>
    <w:p w14:paraId="38F5CE25" w14:textId="77777777" w:rsidR="00144069" w:rsidRPr="003B7261" w:rsidRDefault="00144069" w:rsidP="00144069">
      <w:pPr>
        <w:overflowPunct w:val="0"/>
        <w:spacing w:line="480" w:lineRule="auto"/>
        <w:ind w:right="62"/>
        <w:jc w:val="both"/>
        <w:rPr>
          <w:rFonts w:ascii="Bookman Old Style" w:hAnsi="Bookman Old Style" w:cs="Arial"/>
          <w:sz w:val="28"/>
          <w:szCs w:val="28"/>
          <w:lang w:val="el-GR"/>
        </w:rPr>
      </w:pPr>
    </w:p>
    <w:p w14:paraId="0C7D9180" w14:textId="46E85770" w:rsidR="00144069" w:rsidRPr="003B7261" w:rsidRDefault="00144069" w:rsidP="00144069">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rPr>
        <w:t> </w:t>
      </w:r>
      <w:r w:rsidRPr="003B7261">
        <w:rPr>
          <w:rFonts w:ascii="Bookman Old Style" w:hAnsi="Bookman Old Style" w:cs="Arial"/>
          <w:sz w:val="28"/>
          <w:szCs w:val="28"/>
          <w:lang w:val="el-GR"/>
        </w:rPr>
        <w:t xml:space="preserve">Όπως εξηγείται από τον Κωνσταντινίδη, Δ. στην </w:t>
      </w:r>
      <w:r w:rsidRPr="003B7261">
        <w:rPr>
          <w:rFonts w:ascii="Bookman Old Style" w:hAnsi="Bookman Old Style" w:cs="Arial"/>
          <w:b/>
          <w:bCs/>
          <w:i/>
          <w:iCs/>
          <w:sz w:val="28"/>
          <w:szCs w:val="28"/>
          <w:lang w:val="en-US"/>
        </w:rPr>
        <w:t>Hellenger</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n-US"/>
        </w:rPr>
        <w:t>Trading</w:t>
      </w:r>
      <w:r w:rsidRPr="003B7261">
        <w:rPr>
          <w:rFonts w:ascii="Bookman Old Style" w:hAnsi="Bookman Old Style" w:cs="Arial"/>
          <w:b/>
          <w:bCs/>
          <w:i/>
          <w:iCs/>
          <w:sz w:val="28"/>
          <w:szCs w:val="28"/>
          <w:lang w:val="el-GR"/>
        </w:rPr>
        <w:t xml:space="preserve"> </w:t>
      </w:r>
      <w:r w:rsidRPr="003B7261">
        <w:rPr>
          <w:rFonts w:ascii="Bookman Old Style" w:hAnsi="Bookman Old Style" w:cs="Arial"/>
          <w:b/>
          <w:bCs/>
          <w:i/>
          <w:iCs/>
          <w:sz w:val="28"/>
          <w:szCs w:val="28"/>
          <w:lang w:val="en-US"/>
        </w:rPr>
        <w:t>Ltd</w:t>
      </w:r>
      <w:r w:rsidRPr="003B7261">
        <w:rPr>
          <w:rFonts w:ascii="Bookman Old Style" w:hAnsi="Bookman Old Style" w:cs="Arial"/>
          <w:b/>
          <w:bCs/>
          <w:i/>
          <w:iCs/>
          <w:sz w:val="28"/>
          <w:szCs w:val="28"/>
          <w:lang w:val="el-GR"/>
        </w:rPr>
        <w:t xml:space="preserve"> </w:t>
      </w:r>
      <w:r w:rsidR="00383721">
        <w:rPr>
          <w:rFonts w:ascii="Bookman Old Style" w:hAnsi="Bookman Old Style" w:cs="Arial"/>
          <w:b/>
          <w:bCs/>
          <w:i/>
          <w:iCs/>
          <w:sz w:val="28"/>
          <w:szCs w:val="28"/>
          <w:lang w:val="el-GR"/>
        </w:rPr>
        <w:t>(2000) 1(Γ) Α.Α.Δ. 1965</w:t>
      </w:r>
      <w:r w:rsidR="00383721">
        <w:rPr>
          <w:rFonts w:ascii="Bookman Old Style" w:hAnsi="Bookman Old Style" w:cs="Arial"/>
          <w:sz w:val="28"/>
          <w:szCs w:val="28"/>
          <w:lang w:val="el-GR"/>
        </w:rPr>
        <w:t>,</w:t>
      </w:r>
      <w:r w:rsidRPr="003B7261">
        <w:rPr>
          <w:rFonts w:ascii="Bookman Old Style" w:hAnsi="Bookman Old Style" w:cs="Arial"/>
          <w:sz w:val="28"/>
          <w:szCs w:val="28"/>
          <w:lang w:val="el-GR"/>
        </w:rPr>
        <w:t xml:space="preserve"> στη σελ. 1975:</w:t>
      </w:r>
    </w:p>
    <w:p w14:paraId="3BDF23AB" w14:textId="77777777" w:rsidR="00802DDD" w:rsidRPr="003B7261" w:rsidRDefault="00802DDD" w:rsidP="00144069">
      <w:pPr>
        <w:overflowPunct w:val="0"/>
        <w:spacing w:line="480" w:lineRule="auto"/>
        <w:ind w:right="62"/>
        <w:jc w:val="both"/>
        <w:rPr>
          <w:rFonts w:ascii="Bookman Old Style" w:hAnsi="Bookman Old Style"/>
          <w:sz w:val="28"/>
          <w:szCs w:val="28"/>
          <w:lang w:val="el-GR"/>
        </w:rPr>
      </w:pPr>
    </w:p>
    <w:p w14:paraId="695A6728" w14:textId="4674A786" w:rsidR="00144069" w:rsidRPr="003B7261" w:rsidRDefault="00144069" w:rsidP="00144069">
      <w:pPr>
        <w:overflowPunct w:val="0"/>
        <w:spacing w:line="276" w:lineRule="auto"/>
        <w:ind w:left="426" w:right="390"/>
        <w:jc w:val="both"/>
        <w:rPr>
          <w:rFonts w:ascii="Bookman Old Style" w:hAnsi="Bookman Old Style" w:cstheme="minorBidi"/>
          <w:sz w:val="26"/>
          <w:szCs w:val="26"/>
          <w:lang w:val="el-GR"/>
        </w:rPr>
      </w:pPr>
      <w:r w:rsidRPr="003B7261">
        <w:rPr>
          <w:rFonts w:ascii="Bookman Old Style" w:hAnsi="Bookman Old Style" w:cstheme="minorBidi"/>
          <w:sz w:val="28"/>
          <w:szCs w:val="28"/>
        </w:rPr>
        <w:t> </w:t>
      </w:r>
      <w:r w:rsidRPr="003B7261">
        <w:rPr>
          <w:rFonts w:ascii="Bookman Old Style" w:hAnsi="Bookman Old Style" w:cstheme="minorBidi"/>
          <w:sz w:val="26"/>
          <w:szCs w:val="26"/>
          <w:lang w:val="el-GR"/>
        </w:rPr>
        <w:t>«</w:t>
      </w:r>
      <w:r w:rsidRPr="003B7261">
        <w:rPr>
          <w:rFonts w:ascii="Bookman Old Style" w:hAnsi="Bookman Old Style" w:cstheme="minorBidi"/>
          <w:i/>
          <w:iCs/>
          <w:sz w:val="26"/>
          <w:szCs w:val="26"/>
          <w:lang w:val="el-GR"/>
        </w:rPr>
        <w:t>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Ανωτάτου Δικαστηρίου, δεν δικαιολογείται</w:t>
      </w:r>
      <w:r w:rsidRPr="003B7261">
        <w:rPr>
          <w:rFonts w:ascii="Bookman Old Style" w:hAnsi="Bookman Old Style" w:cstheme="minorBidi"/>
          <w:sz w:val="26"/>
          <w:szCs w:val="26"/>
          <w:lang w:val="el-GR"/>
        </w:rPr>
        <w:t>.»</w:t>
      </w:r>
    </w:p>
    <w:p w14:paraId="29B4F316" w14:textId="77777777" w:rsidR="00212B02" w:rsidRPr="003B7261" w:rsidRDefault="00144069" w:rsidP="00212B02">
      <w:pPr>
        <w:overflowPunct w:val="0"/>
        <w:spacing w:before="100" w:beforeAutospacing="1" w:after="100" w:afterAutospacing="1" w:line="480" w:lineRule="auto"/>
        <w:ind w:right="62"/>
        <w:jc w:val="both"/>
        <w:rPr>
          <w:rFonts w:ascii="Bookman Old Style" w:hAnsi="Bookman Old Style" w:cstheme="minorBidi"/>
          <w:sz w:val="28"/>
          <w:szCs w:val="28"/>
          <w:lang w:val="el-GR"/>
        </w:rPr>
      </w:pPr>
      <w:r w:rsidRPr="003B7261">
        <w:rPr>
          <w:rFonts w:ascii="Bookman Old Style" w:hAnsi="Bookman Old Style" w:cstheme="minorBidi"/>
          <w:sz w:val="28"/>
          <w:szCs w:val="28"/>
        </w:rPr>
        <w:t>  </w:t>
      </w:r>
    </w:p>
    <w:p w14:paraId="1E0BAF02" w14:textId="0ADEF682" w:rsidR="00144069" w:rsidRPr="003B7261" w:rsidRDefault="00144069" w:rsidP="00212B02">
      <w:pPr>
        <w:overflowPunct w:val="0"/>
        <w:spacing w:before="100" w:beforeAutospacing="1" w:after="100" w:afterAutospacing="1" w:line="480" w:lineRule="auto"/>
        <w:ind w:right="62"/>
        <w:jc w:val="both"/>
        <w:rPr>
          <w:rFonts w:ascii="Bookman Old Style" w:hAnsi="Bookman Old Style" w:cstheme="minorBidi"/>
          <w:sz w:val="28"/>
          <w:szCs w:val="28"/>
          <w:lang w:val="el-GR"/>
        </w:rPr>
      </w:pPr>
      <w:r w:rsidRPr="003B7261">
        <w:rPr>
          <w:rFonts w:ascii="Bookman Old Style" w:hAnsi="Bookman Old Style" w:cstheme="minorBidi"/>
          <w:sz w:val="28"/>
          <w:szCs w:val="28"/>
          <w:lang w:val="el-GR"/>
        </w:rPr>
        <w:t xml:space="preserve">Στην υπόθεση </w:t>
      </w:r>
      <w:r w:rsidRPr="003B7261">
        <w:rPr>
          <w:rFonts w:ascii="Bookman Old Style" w:hAnsi="Bookman Old Style" w:cstheme="minorBidi"/>
          <w:b/>
          <w:bCs/>
          <w:i/>
          <w:iCs/>
          <w:sz w:val="28"/>
          <w:szCs w:val="28"/>
          <w:lang w:val="el-GR"/>
        </w:rPr>
        <w:t>Αναφορικά με την Αίτηση του Μιτέλα,</w:t>
      </w:r>
      <w:r w:rsidR="00383721">
        <w:rPr>
          <w:rFonts w:ascii="Bookman Old Style" w:hAnsi="Bookman Old Style" w:cstheme="minorBidi"/>
          <w:b/>
          <w:bCs/>
          <w:i/>
          <w:iCs/>
          <w:sz w:val="28"/>
          <w:szCs w:val="28"/>
          <w:lang w:val="el-GR"/>
        </w:rPr>
        <w:t xml:space="preserve"> Πολιτική Έφεση Αρ. 43/2019, ημερ. 2/4/2019</w:t>
      </w:r>
      <w:r w:rsidR="00383721">
        <w:rPr>
          <w:rFonts w:ascii="Bookman Old Style" w:hAnsi="Bookman Old Style" w:cstheme="minorBidi"/>
          <w:sz w:val="28"/>
          <w:szCs w:val="28"/>
          <w:lang w:val="el-GR"/>
        </w:rPr>
        <w:t xml:space="preserve">, τονίσθηκε ότι </w:t>
      </w:r>
      <w:r w:rsidRPr="003B7261">
        <w:rPr>
          <w:rFonts w:ascii="Bookman Old Style" w:hAnsi="Bookman Old Style" w:cstheme="minorBidi"/>
          <w:sz w:val="28"/>
          <w:szCs w:val="28"/>
          <w:lang w:val="el-GR"/>
        </w:rPr>
        <w:t>«η</w:t>
      </w:r>
      <w:r w:rsidRPr="003B7261">
        <w:rPr>
          <w:rFonts w:ascii="Bookman Old Style" w:hAnsi="Bookman Old Style" w:cstheme="minorBidi"/>
          <w:i/>
          <w:iCs/>
          <w:sz w:val="28"/>
          <w:szCs w:val="28"/>
          <w:lang w:val="el-GR"/>
        </w:rPr>
        <w:t xml:space="preserve"> έκδοση προνομιακών ενταλμάτων δεν λειτουργεί ως υποκατάστατο της έφεσης ή άλλων ένδικων μέσων, ούτε είναι λόγος ενεργοποίησης της εφεδρείας της δικαιοδοσίας αυτής του Ανωτάτου Δικαστηρίου ο τυχόν σημαντικός </w:t>
      </w:r>
      <w:r w:rsidR="00383721">
        <w:rPr>
          <w:rFonts w:ascii="Bookman Old Style" w:hAnsi="Bookman Old Style" w:cstheme="minorBidi"/>
          <w:i/>
          <w:iCs/>
          <w:sz w:val="28"/>
          <w:szCs w:val="28"/>
          <w:lang w:val="el-GR"/>
        </w:rPr>
        <w:t xml:space="preserve">                      </w:t>
      </w:r>
      <w:r w:rsidRPr="003B7261">
        <w:rPr>
          <w:rFonts w:ascii="Bookman Old Style" w:hAnsi="Bookman Old Style" w:cstheme="minorBidi"/>
          <w:i/>
          <w:iCs/>
          <w:sz w:val="28"/>
          <w:szCs w:val="28"/>
          <w:lang w:val="el-GR"/>
        </w:rPr>
        <w:t>χρόνος που απαιτείται για διεκπεραίωση εναλλακτικών διαδικασιών, συμπεριλαμβανομένης της έφεσης</w:t>
      </w:r>
      <w:r w:rsidRPr="003B7261">
        <w:rPr>
          <w:rFonts w:ascii="Bookman Old Style" w:hAnsi="Bookman Old Style" w:cstheme="minorBidi"/>
          <w:sz w:val="28"/>
          <w:szCs w:val="28"/>
          <w:lang w:val="el-GR"/>
        </w:rPr>
        <w:t>».</w:t>
      </w:r>
    </w:p>
    <w:p w14:paraId="15ADF8EA" w14:textId="77777777" w:rsidR="00496B7E" w:rsidRPr="003B7261" w:rsidRDefault="00496B7E" w:rsidP="00144069">
      <w:pPr>
        <w:overflowPunct w:val="0"/>
        <w:spacing w:line="480" w:lineRule="auto"/>
        <w:ind w:right="62"/>
        <w:jc w:val="both"/>
        <w:rPr>
          <w:rFonts w:ascii="Bookman Old Style" w:hAnsi="Bookman Old Style"/>
          <w:sz w:val="28"/>
          <w:szCs w:val="28"/>
          <w:lang w:val="el-GR"/>
        </w:rPr>
      </w:pPr>
    </w:p>
    <w:p w14:paraId="25861F8E" w14:textId="60D122B0" w:rsidR="00144069" w:rsidRPr="003B7261" w:rsidRDefault="00144069" w:rsidP="00144069">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lang w:val="el-GR"/>
        </w:rPr>
        <w:t>Στη βάση των πιο πάνω, δεν έχω ικανοποιηθεί ότι υπάρχει εκ πρώτης όψεως υπόθεση και/ή συζητήσιμο θέμα. Ούτε έχω ικανοποιηθεί ότι ο</w:t>
      </w:r>
      <w:r w:rsidR="00777029">
        <w:rPr>
          <w:rFonts w:ascii="Bookman Old Style" w:hAnsi="Bookman Old Style" w:cs="Arial"/>
          <w:sz w:val="28"/>
          <w:szCs w:val="28"/>
          <w:lang w:val="el-GR"/>
        </w:rPr>
        <w:t>ι</w:t>
      </w:r>
      <w:r w:rsidRPr="003B7261">
        <w:rPr>
          <w:rFonts w:ascii="Bookman Old Style" w:hAnsi="Bookman Old Style" w:cs="Arial"/>
          <w:sz w:val="28"/>
          <w:szCs w:val="28"/>
          <w:lang w:val="el-GR"/>
        </w:rPr>
        <w:t xml:space="preserve"> Αιτητ</w:t>
      </w:r>
      <w:r w:rsidR="00777029">
        <w:rPr>
          <w:rFonts w:ascii="Bookman Old Style" w:hAnsi="Bookman Old Style" w:cs="Arial"/>
          <w:sz w:val="28"/>
          <w:szCs w:val="28"/>
          <w:lang w:val="el-GR"/>
        </w:rPr>
        <w:t>έ</w:t>
      </w:r>
      <w:r w:rsidRPr="003B7261">
        <w:rPr>
          <w:rFonts w:ascii="Bookman Old Style" w:hAnsi="Bookman Old Style" w:cs="Arial"/>
          <w:sz w:val="28"/>
          <w:szCs w:val="28"/>
          <w:lang w:val="el-GR"/>
        </w:rPr>
        <w:t>ς με τα όσα έχ</w:t>
      </w:r>
      <w:r w:rsidR="00777029">
        <w:rPr>
          <w:rFonts w:ascii="Bookman Old Style" w:hAnsi="Bookman Old Style" w:cs="Arial"/>
          <w:sz w:val="28"/>
          <w:szCs w:val="28"/>
          <w:lang w:val="el-GR"/>
        </w:rPr>
        <w:t>ουν</w:t>
      </w:r>
      <w:r w:rsidRPr="003B7261">
        <w:rPr>
          <w:rFonts w:ascii="Bookman Old Style" w:hAnsi="Bookman Old Style" w:cs="Arial"/>
          <w:sz w:val="28"/>
          <w:szCs w:val="28"/>
          <w:lang w:val="el-GR"/>
        </w:rPr>
        <w:t xml:space="preserve"> πιο πάνω αναφέρει και με δεδομένη τη δυνατότητα έφεσης, έχ</w:t>
      </w:r>
      <w:r w:rsidR="00777029">
        <w:rPr>
          <w:rFonts w:ascii="Bookman Old Style" w:hAnsi="Bookman Old Style" w:cs="Arial"/>
          <w:sz w:val="28"/>
          <w:szCs w:val="28"/>
          <w:lang w:val="el-GR"/>
        </w:rPr>
        <w:t>ουν</w:t>
      </w:r>
      <w:r w:rsidRPr="003B7261">
        <w:rPr>
          <w:rFonts w:ascii="Bookman Old Style" w:hAnsi="Bookman Old Style" w:cs="Arial"/>
          <w:sz w:val="28"/>
          <w:szCs w:val="28"/>
          <w:lang w:val="el-GR"/>
        </w:rPr>
        <w:t xml:space="preserve"> καταδείξει την ύπαρξη εξαιρετικών περιστάσεων που να δικαιολογούν τη χορήγηση της αιτούμενης άδειας.</w:t>
      </w:r>
    </w:p>
    <w:p w14:paraId="7D7BC521" w14:textId="77777777" w:rsidR="00186D6E" w:rsidRPr="003B7261" w:rsidRDefault="00186D6E" w:rsidP="00144069">
      <w:pPr>
        <w:overflowPunct w:val="0"/>
        <w:spacing w:line="480" w:lineRule="auto"/>
        <w:ind w:right="62"/>
        <w:jc w:val="both"/>
        <w:rPr>
          <w:rFonts w:ascii="Bookman Old Style" w:hAnsi="Bookman Old Style" w:cs="Arial"/>
          <w:sz w:val="28"/>
          <w:szCs w:val="28"/>
          <w:lang w:val="el-GR"/>
        </w:rPr>
      </w:pPr>
    </w:p>
    <w:p w14:paraId="21A371E7" w14:textId="5F496AFD" w:rsidR="00144069" w:rsidRPr="003B7261" w:rsidRDefault="00144069" w:rsidP="00144069">
      <w:pPr>
        <w:overflowPunct w:val="0"/>
        <w:spacing w:line="480" w:lineRule="auto"/>
        <w:ind w:right="62"/>
        <w:jc w:val="both"/>
        <w:rPr>
          <w:rFonts w:ascii="Bookman Old Style" w:hAnsi="Bookman Old Style" w:cs="Arial"/>
          <w:sz w:val="28"/>
          <w:szCs w:val="28"/>
          <w:lang w:val="el-GR"/>
        </w:rPr>
      </w:pPr>
      <w:r w:rsidRPr="003B7261">
        <w:rPr>
          <w:rFonts w:ascii="Bookman Old Style" w:hAnsi="Bookman Old Style" w:cs="Arial"/>
          <w:sz w:val="28"/>
          <w:szCs w:val="28"/>
        </w:rPr>
        <w:t> </w:t>
      </w:r>
      <w:r w:rsidRPr="003B7261">
        <w:rPr>
          <w:rFonts w:ascii="Bookman Old Style" w:hAnsi="Bookman Old Style" w:cs="Arial"/>
          <w:sz w:val="28"/>
          <w:szCs w:val="28"/>
          <w:lang w:val="el-GR"/>
        </w:rPr>
        <w:t xml:space="preserve">Ως εκ τούτου, </w:t>
      </w:r>
      <w:r w:rsidRPr="003B7261">
        <w:rPr>
          <w:rFonts w:ascii="Bookman Old Style" w:hAnsi="Bookman Old Style" w:cs="Arial"/>
          <w:b/>
          <w:bCs/>
          <w:sz w:val="28"/>
          <w:szCs w:val="28"/>
          <w:lang w:val="el-GR"/>
        </w:rPr>
        <w:t>η υπό κρίση Αίτηση απορρίπτεται</w:t>
      </w:r>
      <w:r w:rsidRPr="003B7261">
        <w:rPr>
          <w:rFonts w:ascii="Bookman Old Style" w:hAnsi="Bookman Old Style" w:cs="Arial"/>
          <w:sz w:val="28"/>
          <w:szCs w:val="28"/>
          <w:lang w:val="el-GR"/>
        </w:rPr>
        <w:t>.</w:t>
      </w:r>
    </w:p>
    <w:p w14:paraId="16557C98" w14:textId="77777777" w:rsidR="00144069" w:rsidRPr="003B7261" w:rsidRDefault="00144069" w:rsidP="00144069">
      <w:pPr>
        <w:overflowPunct w:val="0"/>
        <w:spacing w:line="480" w:lineRule="auto"/>
        <w:ind w:right="62"/>
        <w:jc w:val="both"/>
        <w:rPr>
          <w:rFonts w:ascii="Bookman Old Style" w:hAnsi="Bookman Old Style"/>
          <w:sz w:val="28"/>
          <w:szCs w:val="28"/>
          <w:lang w:val="el-GR"/>
        </w:rPr>
      </w:pPr>
      <w:r w:rsidRPr="003B7261">
        <w:rPr>
          <w:rFonts w:ascii="Bookman Old Style" w:hAnsi="Bookman Old Style"/>
          <w:i/>
          <w:iCs/>
          <w:sz w:val="28"/>
          <w:szCs w:val="28"/>
        </w:rPr>
        <w:t> </w:t>
      </w:r>
    </w:p>
    <w:p w14:paraId="33ABEFE0" w14:textId="7CD364BD" w:rsidR="005768FF" w:rsidRPr="00921621" w:rsidRDefault="00144069" w:rsidP="005E6C8D">
      <w:pPr>
        <w:overflowPunct w:val="0"/>
        <w:spacing w:before="100" w:beforeAutospacing="1" w:after="100" w:afterAutospacing="1" w:line="480" w:lineRule="auto"/>
        <w:ind w:right="62"/>
        <w:jc w:val="both"/>
        <w:rPr>
          <w:rFonts w:ascii="Bookman Old Style" w:hAnsi="Bookman Old Style"/>
          <w:b/>
          <w:bCs/>
          <w:sz w:val="28"/>
          <w:szCs w:val="28"/>
          <w:lang w:val="el-GR"/>
        </w:rPr>
      </w:pPr>
      <w:r w:rsidRPr="00144069">
        <w:rPr>
          <w:rFonts w:ascii="Bookman Old Style" w:hAnsi="Bookman Old Style"/>
          <w:b/>
          <w:bCs/>
          <w:sz w:val="28"/>
          <w:szCs w:val="28"/>
        </w:rPr>
        <w:t> </w:t>
      </w:r>
    </w:p>
    <w:p w14:paraId="692C0026" w14:textId="77777777" w:rsidR="00383721" w:rsidRPr="0012697D" w:rsidRDefault="00383721" w:rsidP="005E6C8D">
      <w:pPr>
        <w:overflowPunct w:val="0"/>
        <w:spacing w:before="100" w:beforeAutospacing="1" w:after="100" w:afterAutospacing="1" w:line="480" w:lineRule="auto"/>
        <w:ind w:right="62"/>
        <w:jc w:val="both"/>
        <w:rPr>
          <w:rFonts w:ascii="Bookman Old Style" w:hAnsi="Bookman Old Style"/>
          <w:b/>
          <w:bCs/>
          <w:sz w:val="28"/>
          <w:szCs w:val="28"/>
          <w:lang w:val="el-GR"/>
        </w:rPr>
      </w:pPr>
    </w:p>
    <w:p w14:paraId="4A62C7F1" w14:textId="77777777" w:rsidR="005E6C8D" w:rsidRPr="006847D1" w:rsidRDefault="005E6C8D" w:rsidP="005E6C8D">
      <w:pPr>
        <w:overflowPunct w:val="0"/>
        <w:spacing w:before="100" w:beforeAutospacing="1" w:after="100" w:afterAutospacing="1" w:line="480" w:lineRule="auto"/>
        <w:ind w:right="62"/>
        <w:jc w:val="both"/>
        <w:rPr>
          <w:rFonts w:ascii="Bookman Old Style" w:hAnsi="Bookman Old Style" w:cs="Arial"/>
          <w:sz w:val="28"/>
          <w:szCs w:val="28"/>
          <w:lang w:val="el-GR"/>
        </w:rPr>
      </w:pPr>
    </w:p>
    <w:p w14:paraId="661E2BA1" w14:textId="77777777" w:rsidR="004C29CA" w:rsidRPr="006847D1" w:rsidRDefault="004C29CA" w:rsidP="0000790C">
      <w:pPr>
        <w:ind w:left="993" w:right="-35" w:hanging="426"/>
        <w:jc w:val="both"/>
        <w:rPr>
          <w:rFonts w:ascii="Bookman Old Style" w:hAnsi="Bookman Old Style" w:cs="Arial"/>
          <w:i/>
          <w:sz w:val="28"/>
          <w:szCs w:val="28"/>
          <w:lang w:val="el-GR"/>
        </w:rPr>
      </w:pPr>
    </w:p>
    <w:p w14:paraId="2E7CB5BA" w14:textId="580EAB6A" w:rsidR="004C29CA" w:rsidRPr="006847D1" w:rsidRDefault="004C29CA" w:rsidP="0000790C">
      <w:pPr>
        <w:spacing w:line="480" w:lineRule="auto"/>
        <w:ind w:right="-35"/>
        <w:jc w:val="both"/>
        <w:rPr>
          <w:rFonts w:ascii="Bookman Old Style" w:hAnsi="Bookman Old Style" w:cs="Arial"/>
          <w:b/>
          <w:sz w:val="28"/>
          <w:szCs w:val="28"/>
          <w:lang w:val="el-GR"/>
        </w:rPr>
      </w:pPr>
      <w:r w:rsidRPr="006847D1">
        <w:rPr>
          <w:rFonts w:ascii="Bookman Old Style" w:hAnsi="Bookman Old Style" w:cs="Arial"/>
          <w:b/>
          <w:sz w:val="28"/>
          <w:szCs w:val="28"/>
          <w:lang w:val="el-GR"/>
        </w:rPr>
        <w:tab/>
      </w:r>
      <w:r w:rsidRPr="006847D1">
        <w:rPr>
          <w:rFonts w:ascii="Bookman Old Style" w:hAnsi="Bookman Old Style" w:cs="Arial"/>
          <w:b/>
          <w:sz w:val="28"/>
          <w:szCs w:val="28"/>
          <w:lang w:val="el-GR"/>
        </w:rPr>
        <w:tab/>
      </w:r>
      <w:r w:rsidRPr="006847D1">
        <w:rPr>
          <w:rFonts w:ascii="Bookman Old Style" w:hAnsi="Bookman Old Style" w:cs="Arial"/>
          <w:b/>
          <w:sz w:val="28"/>
          <w:szCs w:val="28"/>
          <w:lang w:val="el-GR"/>
        </w:rPr>
        <w:tab/>
      </w:r>
      <w:r w:rsidR="00802DDD">
        <w:rPr>
          <w:rFonts w:ascii="Bookman Old Style" w:hAnsi="Bookman Old Style" w:cs="Arial"/>
          <w:b/>
          <w:sz w:val="28"/>
          <w:szCs w:val="28"/>
          <w:lang w:val="el-GR"/>
        </w:rPr>
        <w:t xml:space="preserve">              </w:t>
      </w:r>
      <w:r w:rsidR="007A0D8E" w:rsidRPr="006847D1">
        <w:rPr>
          <w:rFonts w:ascii="Bookman Old Style" w:hAnsi="Bookman Old Style" w:cs="Arial"/>
          <w:b/>
          <w:sz w:val="28"/>
          <w:szCs w:val="28"/>
          <w:lang w:val="el-GR"/>
        </w:rPr>
        <w:t>Λ. ΔΗΜΗΤΡΙΑΔΟΥ-ΑΝΔΡΕΟΥ</w:t>
      </w:r>
      <w:r w:rsidRPr="006847D1">
        <w:rPr>
          <w:rFonts w:ascii="Bookman Old Style" w:hAnsi="Bookman Old Style" w:cs="Arial"/>
          <w:b/>
          <w:sz w:val="28"/>
          <w:szCs w:val="28"/>
          <w:lang w:val="el-GR"/>
        </w:rPr>
        <w:t>,</w:t>
      </w:r>
    </w:p>
    <w:p w14:paraId="0F1CDD67" w14:textId="79CBFCD8" w:rsidR="004C29CA" w:rsidRPr="007A0D8E" w:rsidRDefault="007A0D8E" w:rsidP="005E6C8D">
      <w:pPr>
        <w:spacing w:line="480" w:lineRule="auto"/>
        <w:ind w:left="2880" w:right="-35" w:firstLine="720"/>
        <w:jc w:val="both"/>
        <w:rPr>
          <w:rFonts w:ascii="Bookman Old Style" w:hAnsi="Bookman Old Style" w:cs="Arial"/>
          <w:b/>
          <w:sz w:val="28"/>
          <w:szCs w:val="28"/>
          <w:lang w:val="el-GR"/>
        </w:rPr>
      </w:pPr>
      <w:r w:rsidRPr="006847D1">
        <w:rPr>
          <w:rFonts w:ascii="Bookman Old Style" w:hAnsi="Bookman Old Style" w:cs="Arial"/>
          <w:b/>
          <w:sz w:val="28"/>
          <w:szCs w:val="28"/>
          <w:lang w:val="el-GR"/>
        </w:rPr>
        <w:t xml:space="preserve">      </w:t>
      </w:r>
      <w:r w:rsidR="00802DDD">
        <w:rPr>
          <w:rFonts w:ascii="Bookman Old Style" w:hAnsi="Bookman Old Style" w:cs="Arial"/>
          <w:b/>
          <w:sz w:val="28"/>
          <w:szCs w:val="28"/>
          <w:lang w:val="el-GR"/>
        </w:rPr>
        <w:t xml:space="preserve">              </w:t>
      </w:r>
      <w:r w:rsidR="004C29CA" w:rsidRPr="006847D1">
        <w:rPr>
          <w:rFonts w:ascii="Bookman Old Style" w:hAnsi="Bookman Old Style" w:cs="Arial"/>
          <w:b/>
          <w:sz w:val="28"/>
          <w:szCs w:val="28"/>
          <w:lang w:val="el-GR"/>
        </w:rPr>
        <w:t>Δ.</w:t>
      </w:r>
    </w:p>
    <w:sectPr w:rsidR="004C29CA" w:rsidRPr="007A0D8E" w:rsidSect="00A70E96">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7FA5" w14:textId="77777777" w:rsidR="00DE33FE" w:rsidRDefault="00DE33FE" w:rsidP="00B43113">
      <w:r>
        <w:separator/>
      </w:r>
    </w:p>
  </w:endnote>
  <w:endnote w:type="continuationSeparator" w:id="0">
    <w:p w14:paraId="41B26F42" w14:textId="77777777" w:rsidR="00DE33FE" w:rsidRDefault="00DE33FE"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6694" w14:textId="77777777" w:rsidR="00DE33FE" w:rsidRDefault="00DE33FE" w:rsidP="00B43113">
      <w:r>
        <w:separator/>
      </w:r>
    </w:p>
  </w:footnote>
  <w:footnote w:type="continuationSeparator" w:id="0">
    <w:p w14:paraId="44E8C2C4" w14:textId="77777777" w:rsidR="00DE33FE" w:rsidRDefault="00DE33FE" w:rsidP="00B43113">
      <w:r>
        <w:continuationSeparator/>
      </w:r>
    </w:p>
  </w:footnote>
  <w:footnote w:id="1">
    <w:p w14:paraId="1E05BBFE" w14:textId="23342866" w:rsidR="00802DDD" w:rsidRPr="00802DDD" w:rsidRDefault="00802DDD" w:rsidP="00802DDD">
      <w:pPr>
        <w:pStyle w:val="FootnoteText"/>
        <w:spacing w:line="276" w:lineRule="auto"/>
        <w:jc w:val="both"/>
        <w:rPr>
          <w:rFonts w:ascii="Bookman Old Style" w:hAnsi="Bookman Old Style"/>
          <w:i/>
          <w:iCs/>
          <w:sz w:val="22"/>
          <w:szCs w:val="22"/>
          <w:lang w:val="el-GR"/>
        </w:rPr>
      </w:pPr>
      <w:r>
        <w:rPr>
          <w:rStyle w:val="FootnoteReference"/>
        </w:rPr>
        <w:footnoteRef/>
      </w:r>
      <w:r w:rsidRPr="00802DDD">
        <w:rPr>
          <w:lang w:val="el-GR"/>
        </w:rPr>
        <w:t xml:space="preserve"> </w:t>
      </w:r>
      <w:r w:rsidRPr="00802DDD">
        <w:rPr>
          <w:rFonts w:ascii="Bookman Old Style" w:hAnsi="Bookman Old Style"/>
          <w:i/>
          <w:iCs/>
          <w:sz w:val="22"/>
          <w:szCs w:val="22"/>
          <w:lang w:val="el-GR"/>
        </w:rPr>
        <w:t>202Η.-(1) Τηρουμένων των διατάξεων του άρθρου 202Γ κατά την περίοδο που άρχισε από την ημερομηνία υποβολής αίτησης σύμφωνα με το άρθρο 202Α και τηρουμένων των διατάξεων των εδαφίων (3) και (4) του άρθρου 202</w:t>
      </w:r>
      <w:r w:rsidRPr="00802DDD">
        <w:rPr>
          <w:rFonts w:ascii="Bookman Old Style" w:hAnsi="Bookman Old Style"/>
          <w:i/>
          <w:iCs/>
          <w:sz w:val="22"/>
          <w:szCs w:val="22"/>
        </w:rPr>
        <w:t>I</w:t>
      </w:r>
      <w:r w:rsidRPr="00802DDD">
        <w:rPr>
          <w:rFonts w:ascii="Bookman Old Style" w:hAnsi="Bookman Old Style"/>
          <w:i/>
          <w:iCs/>
          <w:sz w:val="22"/>
          <w:szCs w:val="22"/>
          <w:lang w:val="el-GR"/>
        </w:rPr>
        <w:t>Θ, και τελειώνει κατά τη λήξη περιόδου τεσσάρων (4) μηνών από την ημερομηνία εκείνη ή κατά την απόσυρση ή απόρριψη της αίτησης, οποιοδήποτε γεγονός επέλθει πρώτο, η εταιρεία θεωρείται ότι τελεί υπό την προστασία του Δικαστηρίου.</w:t>
      </w:r>
    </w:p>
  </w:footnote>
  <w:footnote w:id="2">
    <w:p w14:paraId="521103B7" w14:textId="5443080C" w:rsidR="005E6C8D" w:rsidRPr="00186D6E" w:rsidRDefault="005E6C8D" w:rsidP="00186D6E">
      <w:pPr>
        <w:pStyle w:val="FootnoteText"/>
        <w:spacing w:line="276" w:lineRule="auto"/>
        <w:rPr>
          <w:rFonts w:ascii="Bookman Old Style" w:hAnsi="Bookman Old Style"/>
          <w:sz w:val="22"/>
          <w:szCs w:val="22"/>
          <w:lang w:val="el-GR"/>
        </w:rPr>
      </w:pPr>
      <w:r>
        <w:rPr>
          <w:rStyle w:val="FootnoteReference"/>
        </w:rPr>
        <w:footnoteRef/>
      </w:r>
      <w:r w:rsidRPr="005E6C8D">
        <w:rPr>
          <w:lang w:val="el-GR"/>
        </w:rPr>
        <w:t xml:space="preserve"> </w:t>
      </w:r>
      <w:r w:rsidRPr="00186D6E">
        <w:rPr>
          <w:rFonts w:ascii="Bookman Old Style" w:hAnsi="Bookman Old Style"/>
          <w:sz w:val="22"/>
          <w:szCs w:val="22"/>
          <w:lang w:val="el-GR"/>
        </w:rPr>
        <w:t xml:space="preserve">Δέστε τις πρόνοιες του </w:t>
      </w:r>
      <w:r w:rsidRPr="00186D6E">
        <w:rPr>
          <w:rFonts w:ascii="Bookman Old Style" w:hAnsi="Bookman Old Style"/>
          <w:b/>
          <w:bCs/>
          <w:i/>
          <w:iCs/>
          <w:sz w:val="22"/>
          <w:szCs w:val="22"/>
          <w:lang w:val="el-GR"/>
        </w:rPr>
        <w:t>Άρθρου</w:t>
      </w:r>
      <w:r w:rsidR="00186D6E" w:rsidRPr="00186D6E">
        <w:rPr>
          <w:rFonts w:ascii="Bookman Old Style" w:hAnsi="Bookman Old Style"/>
          <w:b/>
          <w:bCs/>
          <w:i/>
          <w:iCs/>
          <w:sz w:val="22"/>
          <w:szCs w:val="22"/>
          <w:lang w:val="el-GR"/>
        </w:rPr>
        <w:t xml:space="preserve"> 202Η</w:t>
      </w:r>
      <w:r w:rsidR="00186D6E" w:rsidRPr="00186D6E">
        <w:rPr>
          <w:rFonts w:ascii="Bookman Old Style" w:hAnsi="Bookman Old Style"/>
          <w:sz w:val="22"/>
          <w:szCs w:val="22"/>
          <w:lang w:val="el-GR"/>
        </w:rPr>
        <w:t xml:space="preserve"> του </w:t>
      </w:r>
      <w:r w:rsidR="00186D6E" w:rsidRPr="00186D6E">
        <w:rPr>
          <w:rFonts w:ascii="Bookman Old Style" w:hAnsi="Bookman Old Style"/>
          <w:b/>
          <w:bCs/>
          <w:i/>
          <w:iCs/>
          <w:sz w:val="22"/>
          <w:szCs w:val="22"/>
          <w:lang w:val="el-GR"/>
        </w:rPr>
        <w:t>Κεφ.</w:t>
      </w:r>
      <w:r w:rsidR="001B71AD">
        <w:rPr>
          <w:rFonts w:ascii="Bookman Old Style" w:hAnsi="Bookman Old Style"/>
          <w:b/>
          <w:bCs/>
          <w:i/>
          <w:iCs/>
          <w:sz w:val="22"/>
          <w:szCs w:val="22"/>
          <w:lang w:val="el-GR"/>
        </w:rPr>
        <w:t xml:space="preserve"> </w:t>
      </w:r>
      <w:r w:rsidR="00186D6E" w:rsidRPr="00186D6E">
        <w:rPr>
          <w:rFonts w:ascii="Bookman Old Style" w:hAnsi="Bookman Old Style"/>
          <w:b/>
          <w:bCs/>
          <w:i/>
          <w:iCs/>
          <w:sz w:val="22"/>
          <w:szCs w:val="22"/>
          <w:lang w:val="el-GR"/>
        </w:rPr>
        <w:t>113</w:t>
      </w:r>
      <w:r w:rsidR="00186D6E" w:rsidRPr="00186D6E">
        <w:rPr>
          <w:rFonts w:ascii="Bookman Old Style" w:hAnsi="Bookman Old Style"/>
          <w:sz w:val="22"/>
          <w:szCs w:val="22"/>
          <w:lang w:val="el-GR"/>
        </w:rPr>
        <w:t xml:space="preserve"> ως προς τις διατάξεις που ισχύουν</w:t>
      </w:r>
      <w:r w:rsidR="00186D6E">
        <w:rPr>
          <w:rFonts w:ascii="Bookman Old Style" w:hAnsi="Bookman Old Style"/>
          <w:sz w:val="22"/>
          <w:szCs w:val="22"/>
          <w:lang w:val="el-GR"/>
        </w:rPr>
        <w:t xml:space="preserve"> </w:t>
      </w:r>
      <w:r w:rsidR="00186D6E" w:rsidRPr="00186D6E">
        <w:rPr>
          <w:rFonts w:ascii="Bookman Old Style" w:hAnsi="Bookman Old Style"/>
          <w:sz w:val="22"/>
          <w:szCs w:val="22"/>
          <w:lang w:val="el-GR"/>
        </w:rPr>
        <w:t>για όσο χρόνο μία εταιρεία τελεί υπό την προστασία του Δικαστηρίου</w:t>
      </w:r>
      <w:r w:rsidR="00186D6E">
        <w:rPr>
          <w:rFonts w:ascii="Bookman Old Style" w:hAnsi="Bookman Old Style"/>
          <w:sz w:val="22"/>
          <w:szCs w:val="22"/>
          <w:lang w:val="el-GR"/>
        </w:rPr>
        <w:t>:</w:t>
      </w:r>
    </w:p>
    <w:p w14:paraId="25BECAEC" w14:textId="77777777" w:rsidR="005E6C8D" w:rsidRPr="0012697D" w:rsidRDefault="005E6C8D" w:rsidP="005E6C8D">
      <w:pPr>
        <w:pStyle w:val="NormalWeb"/>
        <w:spacing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(2) Για όσο χρόνο μία εταιρεία τελεί υπό την προστασία του Δικαστηρίου, σύμφωνα με τις διατάξεις του παρόντος Νόμου, ισχύουν οι ακόλουθες διατάξεις:</w:t>
      </w:r>
    </w:p>
    <w:p w14:paraId="237B94C8"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(α) Δεν δύνανται να αρχίσουν εναντίον της εταιρείας οποιεσδήποτε διαδικασίες εκκαθάρισης, ούτε να εγκριθεί ψήφισμα για εκκαθάριση σε σχέση με την εταιρεία εκείνη και οποιοδήποτε ψήφισμα που εγκρίνεται κατά τον τρόπο αυτό δεν έχει αποτέλεσμα,</w:t>
      </w:r>
    </w:p>
    <w:p w14:paraId="5707765A"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(β) δεν διορίζεται παραλήπτης επί οποιουδήποτε μέρους της περιουσίας ή της επιχείρησης της εταιρείας ή αν έχει διοριστεί παραλήπτης πριν από την υποβολή αίτησης σύμφωνα με το άρθρο 202Α, τηρουμένων των διατάξεων του άρθρου 202Ι, τέτοιος παραλήπτης μπορεί να συνεχίσει να ενεργεί ως παραλήπτης,</w:t>
      </w:r>
    </w:p>
    <w:p w14:paraId="54542F4A"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(γ) καμία κατάσχεση στα χέρια τρίτου, μεσεγγύηση, κατάσχεση ή εκτέλεση δεν θα λαμβάνει χώρα έναντι της περιουσίας ή των αντικειμένων της εταιρείας, παρά μόνο με την συγκατάθεση του εξεταστή,</w:t>
      </w:r>
    </w:p>
    <w:p w14:paraId="3CA7067F"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(δ) σε περίπτωση που οποιαδήποτε αξίωση</w:t>
      </w:r>
      <w:r w:rsidRPr="005E6C8D">
        <w:rPr>
          <w:rFonts w:ascii="Bookman Old Style" w:hAnsi="Bookman Old Style"/>
          <w:i/>
          <w:iCs/>
          <w:sz w:val="22"/>
          <w:szCs w:val="22"/>
        </w:rPr>
        <w:t> </w:t>
      </w:r>
      <w:r w:rsidRPr="0012697D">
        <w:rPr>
          <w:rFonts w:ascii="Bookman Old Style" w:hAnsi="Bookman Old Style"/>
          <w:i/>
          <w:iCs/>
          <w:sz w:val="22"/>
          <w:szCs w:val="22"/>
          <w:lang w:val="el-GR"/>
        </w:rPr>
        <w:t>εναντίον της εταιρείας εξασφαλίζεται με υποθήκη, επιβάρυνση, δικαίωμα επίσχεσης ή άλλη επιβάρυνση ή ενέχυρο επί ή που επηρεάζει ολόκληρη ή οποιοδήποτε μέρος της περιουσίας, των αντικειμένων ή του εισοδήματος της εταιρείας, καμία ενέργεια δεν μπορεί να λάβει χώρα για τη ρευστοποίηση ολόκληρης ή οποιουδήποτε μέρους αυτής της εξασφάλισης, παρά μόνο με την συγκατάθεση του εξεταστή,</w:t>
      </w:r>
    </w:p>
    <w:p w14:paraId="6EB0FD17"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(ε) δεν δύναται να ληφθούν οποιαδήποτε μέτρα για την ανάκτηση αγαθών που ευρίσκονται στην κατοχή της εταιρείας σύμφωνα με οποιαδήποτε συμφωνία ενοικιαγοράς, παρά μόνο με τη συγκατάθεση του εξεταστή,</w:t>
      </w:r>
    </w:p>
    <w:p w14:paraId="16EA5C16"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(στ) σε περίπτωση που, σύμφωνα με τις διατάξεις οποιουδήποτε Νόμου, Κανονισμού ή άλλης ρύθμισης, οποιοδήποτε πρόσωπο άλλο από την εταιρεία είναι υπεύθυνο να καταβάλει όλα ή οποιοδήποτε μέρος των χρεών της εταιρείας -</w:t>
      </w:r>
    </w:p>
    <w:p w14:paraId="37DB6DDE"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(ί) καμία κατάσχεση στα χέρια τρίτου, μεσεγγύηση, κατάσχεση ή εκτέλεση δεν λαμβάνει χώρα έναντι της περιουσίας ή των αντικειμένων του προσώπου αυτού αναφορικά με τα χρέη της εταιρείας, και</w:t>
      </w:r>
    </w:p>
    <w:p w14:paraId="7812A820"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w:t>
      </w:r>
      <w:r w:rsidRPr="005E6C8D">
        <w:rPr>
          <w:rFonts w:ascii="Bookman Old Style" w:hAnsi="Bookman Old Style"/>
          <w:i/>
          <w:iCs/>
          <w:sz w:val="22"/>
          <w:szCs w:val="22"/>
        </w:rPr>
        <w:t>ii</w:t>
      </w:r>
      <w:r w:rsidRPr="0012697D">
        <w:rPr>
          <w:rFonts w:ascii="Bookman Old Style" w:hAnsi="Bookman Old Style"/>
          <w:i/>
          <w:iCs/>
          <w:sz w:val="22"/>
          <w:szCs w:val="22"/>
          <w:lang w:val="el-GR"/>
        </w:rPr>
        <w:t>) καμία διαδικασία οποιουδήποτε είδους δεν δύναται να κινηθεί εναντίον του προσώπου αυτού αναφορικά με τα χρέη της εταιρείας,</w:t>
      </w:r>
    </w:p>
    <w:p w14:paraId="7EC8C297"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(ίίί) όταν οποιαδήποτε αξίωση εναντίον του προσώπου αυτού εξασφαλίζεται με υποθήκη, επιβάρυνση, δικαίωμα επίσχεσης ή άλλη επιβάρυνση ή ενέχυρο επί ή που επηρεάζει ολόκληρη ή οποιοδήποτε μέρος της περιουσίας, των αντικειμένων ή του εισοδήματος της εταιρείας, καμία ενέργεια δεν μπορεί να λάβει χώρα για τη ρευστοποίηση ολόκληρης ή οποιουδήποτε μέρους αυτής της εξασφάλισης, παρά μόνο με</w:t>
      </w:r>
      <w:r w:rsidRPr="005E6C8D">
        <w:rPr>
          <w:rFonts w:ascii="Bookman Old Style" w:hAnsi="Bookman Old Style"/>
          <w:i/>
          <w:iCs/>
          <w:sz w:val="22"/>
          <w:szCs w:val="22"/>
        </w:rPr>
        <w:t> </w:t>
      </w:r>
      <w:r w:rsidRPr="0012697D">
        <w:rPr>
          <w:rFonts w:ascii="Bookman Old Style" w:hAnsi="Bookman Old Style"/>
          <w:i/>
          <w:iCs/>
          <w:sz w:val="22"/>
          <w:szCs w:val="22"/>
          <w:lang w:val="el-GR"/>
        </w:rPr>
        <w:t>την συγκατάθεση του εξεταστή,</w:t>
      </w:r>
    </w:p>
    <w:p w14:paraId="76DE1B81"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(ζ) κανένα διάταγμα για θεραπεία δεν δύναται να εκδοθεί σύμφωνα με το άρθρο 202 έναντι της εταιρείας αναφορικά με παράπονα όσον αφορά τη διεξαγωγή των υποθέσεων της εταιρείας ή την άσκηση των εξουσιών των συμβούλων πριν από την υποβολή της αίτησης,</w:t>
      </w:r>
    </w:p>
    <w:p w14:paraId="41D21F6C"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(η) οποιαδήποτε χρονική περίοδος κατά την οποία μία εταιρεία τελεί υπό την προστασία του Δικαστηρίου δεν υπολογίζεται κατά τον καθορισμό της προδιαγραφόμενης περιόδου σύμφωνα με τον περί Παραγραφής Αγώγιμων Δικαιωμάτων Νόμο,</w:t>
      </w:r>
    </w:p>
    <w:p w14:paraId="350C39F1" w14:textId="77777777" w:rsidR="005E6C8D" w:rsidRPr="0012697D" w:rsidRDefault="005E6C8D" w:rsidP="005E6C8D">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(θ) κατά τον καθορισμό της περιόδου των έξι (6) μηνών που προβλέπεται στο άρθρο 301, δεν προσμετράται οποιαδήποτε χρονική περίοδος, κατά την οποία η εταιρεία τελεί υπό την προστασία του Δικαστηρίου.</w:t>
      </w:r>
    </w:p>
    <w:p w14:paraId="3117A5DF" w14:textId="77777777" w:rsidR="005E6C8D" w:rsidRPr="0012697D" w:rsidRDefault="005E6C8D" w:rsidP="00186D6E">
      <w:pPr>
        <w:pStyle w:val="NormalWeb"/>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(3) Τηρουμένων των διατάξεων του εδαφίου (2), καμία άλλη διαδικασία εναντίον της εταιρείας δεν δύναται να αρχίσει, παρά μόνο με την άδεια του Δικαστηρίου και τηρουμένων των όρων που το Δικαστήριο δύναται να επιβάλει:</w:t>
      </w:r>
    </w:p>
    <w:p w14:paraId="73433540" w14:textId="77777777" w:rsidR="005E6C8D" w:rsidRPr="0012697D" w:rsidRDefault="005E6C8D" w:rsidP="00186D6E">
      <w:pPr>
        <w:pStyle w:val="cybar-text-indent"/>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Νοείται ότι, το Δικαστήριο δύναται, κατόπιν αίτησης του εξεταστή, να εκδώσει τέτοιο διάταγμα, όπως κρίνει ορθό, αναφορικά με οποιεσδήποτε διαδικασίες που ήδη υφίστανται, συμπεριλαμβανομένης της αναστολής των διαδικασιών αυτών.</w:t>
      </w:r>
    </w:p>
    <w:p w14:paraId="0D6B8264" w14:textId="77777777" w:rsidR="005E6C8D" w:rsidRPr="0012697D" w:rsidRDefault="005E6C8D" w:rsidP="005E6C8D">
      <w:pPr>
        <w:pStyle w:val="FootnoteText"/>
        <w:spacing w:line="276" w:lineRule="auto"/>
        <w:rPr>
          <w:rFonts w:ascii="Bookman Old Style" w:hAnsi="Bookman Old Style"/>
          <w:sz w:val="22"/>
          <w:szCs w:val="22"/>
          <w:lang w:val="el-GR"/>
        </w:rPr>
      </w:pPr>
    </w:p>
  </w:footnote>
  <w:footnote w:id="3">
    <w:p w14:paraId="430AFA84" w14:textId="0EF96D09" w:rsidR="00616F8E" w:rsidRDefault="00616F8E" w:rsidP="00616F8E">
      <w:pPr>
        <w:pStyle w:val="FootnoteText"/>
        <w:spacing w:line="276" w:lineRule="auto"/>
        <w:jc w:val="both"/>
        <w:rPr>
          <w:rFonts w:ascii="Bookman Old Style" w:hAnsi="Bookman Old Style"/>
          <w:i/>
          <w:iCs/>
          <w:sz w:val="22"/>
          <w:szCs w:val="22"/>
          <w:lang w:val="el-GR"/>
        </w:rPr>
      </w:pPr>
      <w:r w:rsidRPr="00616F8E">
        <w:rPr>
          <w:rStyle w:val="FootnoteReference"/>
          <w:rFonts w:ascii="Bookman Old Style" w:hAnsi="Bookman Old Style"/>
          <w:sz w:val="22"/>
          <w:szCs w:val="22"/>
        </w:rPr>
        <w:footnoteRef/>
      </w:r>
      <w:r w:rsidRPr="00616F8E">
        <w:rPr>
          <w:rFonts w:ascii="Bookman Old Style" w:hAnsi="Bookman Old Style"/>
          <w:sz w:val="22"/>
          <w:szCs w:val="22"/>
          <w:lang w:val="el-GR"/>
        </w:rPr>
        <w:t xml:space="preserve"> </w:t>
      </w:r>
      <w:r w:rsidR="006B31A7">
        <w:rPr>
          <w:rFonts w:ascii="Bookman Old Style" w:hAnsi="Bookman Old Style"/>
          <w:i/>
          <w:iCs/>
          <w:sz w:val="22"/>
          <w:szCs w:val="22"/>
          <w:lang w:val="el-GR"/>
        </w:rPr>
        <w:t>«</w:t>
      </w:r>
      <w:r>
        <w:rPr>
          <w:rFonts w:ascii="Bookman Old Style" w:hAnsi="Bookman Old Style"/>
          <w:i/>
          <w:iCs/>
          <w:sz w:val="22"/>
          <w:szCs w:val="22"/>
          <w:lang w:val="el-GR"/>
        </w:rPr>
        <w:t xml:space="preserve">Τηρουμένων των διατάξεων </w:t>
      </w:r>
      <w:r w:rsidR="006B31A7">
        <w:rPr>
          <w:rFonts w:ascii="Bookman Old Style" w:hAnsi="Bookman Old Style"/>
          <w:i/>
          <w:iCs/>
          <w:sz w:val="22"/>
          <w:szCs w:val="22"/>
          <w:lang w:val="el-GR"/>
        </w:rPr>
        <w:t>του εδαφίου (7) του άρθρου 202Β, σε περίπτωση που κατά την ημερομηνία υποβολής αίτησης σε σχέση με εταιρεία υπάρχει διορισμένος παραλήπτης για ολόκληρο ή οποιοδήποτε μέρος της περιουσίας ή της επιχείρησης εκείνης της εταιρείας, το Δικαστήριο δύναται να εκδώσει οποιοδήποτε διάταγμα θεωρεί πρέπον συμπεριλαμβανομένου διατάγματος, το οποίο να διατάσσει όπως –</w:t>
      </w:r>
    </w:p>
    <w:p w14:paraId="0B493F4A" w14:textId="77777777" w:rsidR="006B31A7" w:rsidRDefault="006B31A7" w:rsidP="00616F8E">
      <w:pPr>
        <w:pStyle w:val="FootnoteText"/>
        <w:spacing w:line="276" w:lineRule="auto"/>
        <w:jc w:val="both"/>
        <w:rPr>
          <w:rFonts w:ascii="Bookman Old Style" w:hAnsi="Bookman Old Style"/>
          <w:i/>
          <w:iCs/>
          <w:sz w:val="22"/>
          <w:szCs w:val="22"/>
          <w:lang w:val="el-GR"/>
        </w:rPr>
      </w:pPr>
    </w:p>
    <w:p w14:paraId="0B6C7CE4" w14:textId="1B22A623" w:rsidR="006B31A7" w:rsidRPr="00616F8E" w:rsidRDefault="006B31A7" w:rsidP="006B31A7">
      <w:pPr>
        <w:pStyle w:val="FootnoteText"/>
        <w:tabs>
          <w:tab w:val="left" w:pos="851"/>
          <w:tab w:val="left" w:pos="993"/>
        </w:tabs>
        <w:spacing w:line="276" w:lineRule="auto"/>
        <w:ind w:left="720" w:hanging="426"/>
        <w:jc w:val="both"/>
        <w:rPr>
          <w:rFonts w:ascii="Bookman Old Style" w:hAnsi="Bookman Old Style"/>
          <w:i/>
          <w:iCs/>
          <w:sz w:val="22"/>
          <w:szCs w:val="22"/>
          <w:lang w:val="el-GR"/>
        </w:rPr>
      </w:pPr>
      <w:r>
        <w:rPr>
          <w:rFonts w:ascii="Bookman Old Style" w:hAnsi="Bookman Old Style"/>
          <w:i/>
          <w:iCs/>
          <w:sz w:val="22"/>
          <w:szCs w:val="22"/>
          <w:lang w:val="el-GR"/>
        </w:rPr>
        <w:tab/>
        <w:t>(α) ο παραλήπτης παύσει να ενεργεί ως παραλήπτης από ημερομηνία την οποία θα καθορίσει το Δικαστήριο.»</w:t>
      </w:r>
    </w:p>
  </w:footnote>
  <w:footnote w:id="4">
    <w:p w14:paraId="18E88891" w14:textId="77777777" w:rsidR="00214047" w:rsidRPr="0012697D" w:rsidRDefault="00214047" w:rsidP="00186D6E">
      <w:pPr>
        <w:pStyle w:val="NormalWeb"/>
        <w:spacing w:before="0" w:beforeAutospacing="0" w:after="0" w:afterAutospacing="0" w:line="276" w:lineRule="auto"/>
        <w:jc w:val="both"/>
        <w:rPr>
          <w:rFonts w:ascii="Bookman Old Style" w:hAnsi="Bookman Old Style"/>
          <w:i/>
          <w:iCs/>
          <w:sz w:val="22"/>
          <w:szCs w:val="22"/>
          <w:lang w:val="el-GR"/>
        </w:rPr>
      </w:pPr>
      <w:r>
        <w:rPr>
          <w:rStyle w:val="FootnoteReference"/>
        </w:rPr>
        <w:footnoteRef/>
      </w:r>
      <w:r w:rsidRPr="00214047">
        <w:rPr>
          <w:lang w:val="el-GR"/>
        </w:rPr>
        <w:t xml:space="preserve"> </w:t>
      </w:r>
      <w:r w:rsidRPr="0012697D">
        <w:rPr>
          <w:rFonts w:ascii="Bookman Old Style" w:hAnsi="Bookman Old Style"/>
          <w:sz w:val="22"/>
          <w:szCs w:val="22"/>
          <w:lang w:val="el-GR"/>
        </w:rPr>
        <w:t>202Γ.-(</w:t>
      </w:r>
      <w:r w:rsidRPr="0012697D">
        <w:rPr>
          <w:rFonts w:ascii="Bookman Old Style" w:hAnsi="Bookman Old Style"/>
          <w:i/>
          <w:iCs/>
          <w:sz w:val="22"/>
          <w:szCs w:val="22"/>
          <w:lang w:val="el-GR"/>
        </w:rPr>
        <w:t>1) Σε περίπτωση που αίτηση που υποβάλλεται σύμφωνα με το άρθρο 202Α ικανοποιεί το Δικαστήριο ότι -</w:t>
      </w:r>
    </w:p>
    <w:p w14:paraId="2BCBE716" w14:textId="77777777" w:rsidR="00214047" w:rsidRPr="0012697D" w:rsidRDefault="00214047" w:rsidP="00186D6E">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(α) λόγω περιστάσεων εκτός του ελέγχου του αιτητή, η έκθεση του ανεξάρτητου εμπειρογνώμονα δεν είναι διαθέσιμη εγκαίρως για να συνοδεύσει την αίτηση, και</w:t>
      </w:r>
    </w:p>
    <w:p w14:paraId="486D0A9D" w14:textId="77777777" w:rsidR="00214047" w:rsidRPr="0012697D" w:rsidRDefault="00214047" w:rsidP="00186D6E">
      <w:pPr>
        <w:pStyle w:val="indent10"/>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(β) ο αιτητής δεν θα μπορούσε εύλογα να προβλέψει τις περιστάσεις που αναφέρονται στην παράγραφο (α),</w:t>
      </w:r>
    </w:p>
    <w:p w14:paraId="1A3CF7CA" w14:textId="77777777" w:rsidR="00214047" w:rsidRPr="0012697D" w:rsidRDefault="00214047" w:rsidP="00186D6E">
      <w:pPr>
        <w:pStyle w:val="NormalWeb"/>
        <w:spacing w:before="0" w:beforeAutospacing="0" w:after="0" w:afterAutospacing="0" w:line="276" w:lineRule="auto"/>
        <w:jc w:val="both"/>
        <w:rPr>
          <w:rFonts w:ascii="Bookman Old Style" w:hAnsi="Bookman Old Style"/>
          <w:i/>
          <w:iCs/>
          <w:sz w:val="22"/>
          <w:szCs w:val="22"/>
          <w:lang w:val="el-GR"/>
        </w:rPr>
      </w:pPr>
      <w:r w:rsidRPr="0012697D">
        <w:rPr>
          <w:rFonts w:ascii="Bookman Old Style" w:hAnsi="Bookman Old Style"/>
          <w:i/>
          <w:iCs/>
          <w:sz w:val="22"/>
          <w:szCs w:val="22"/>
          <w:lang w:val="el-GR"/>
        </w:rPr>
        <w:t>το Δικαστήριο δύναται να εκδώσει διάταγμα σύμφωνα με τις διατάξεις του παρόντος άρθρου και να θέσει την εταιρεία για την οποία γίνεται αίτηση υπό την προστασία του Δικαστηρίου για περίοδο που το Δικαστήριο θεωρεί κατάλληλη, με σκοπό να επιτραπεί η υποβολή της έκθεσης του ανεξάρτητου εμπειρογνώμονα:</w:t>
      </w:r>
    </w:p>
    <w:p w14:paraId="3F45F6EE" w14:textId="1155DB31" w:rsidR="00214047" w:rsidRPr="0012697D" w:rsidRDefault="00214047" w:rsidP="00186D6E">
      <w:pPr>
        <w:pStyle w:val="cybar-text-indent"/>
        <w:spacing w:before="0" w:beforeAutospacing="0" w:after="0" w:afterAutospacing="0" w:line="276" w:lineRule="auto"/>
        <w:jc w:val="both"/>
        <w:rPr>
          <w:rFonts w:ascii="Bookman Old Style" w:hAnsi="Bookman Old Style"/>
          <w:sz w:val="22"/>
          <w:szCs w:val="22"/>
          <w:lang w:val="el-GR"/>
        </w:rPr>
      </w:pPr>
      <w:r w:rsidRPr="0012697D">
        <w:rPr>
          <w:rFonts w:ascii="Bookman Old Style" w:hAnsi="Bookman Old Style"/>
          <w:i/>
          <w:iCs/>
          <w:sz w:val="22"/>
          <w:szCs w:val="22"/>
          <w:lang w:val="el-GR"/>
        </w:rPr>
        <w:t>Νοείται ότι, αν υπάρχει διορισμένος παραλήπτης σε σχέση με ολόκληρη ή οποιοδήποτε μέρος της περιουσίας ή της επιχείρησης της εταιρείας κατά το χρόνο υποβολής αίτησης, σύμφωνα με το άρθρο 202Α, αναφορικά με την εταιρεία, αυτό δεν αποτελεί από μόνο του, για τους σκοπούς του παρόντος εδαφίου, περιστάσεις εκτός του ελέγχου του αιτητή.</w:t>
      </w:r>
    </w:p>
    <w:p w14:paraId="7078271F" w14:textId="7A1EEBF6" w:rsidR="00214047" w:rsidRPr="0012697D" w:rsidRDefault="00214047">
      <w:pPr>
        <w:pStyle w:val="FootnoteText"/>
        <w:rPr>
          <w:lang w:val="el-GR"/>
        </w:rPr>
      </w:pPr>
    </w:p>
  </w:footnote>
  <w:footnote w:id="5">
    <w:p w14:paraId="445ACC6D" w14:textId="331E7EA9" w:rsidR="0023293E" w:rsidRDefault="0023293E" w:rsidP="0023293E">
      <w:pPr>
        <w:pStyle w:val="FootnoteText"/>
        <w:spacing w:line="276" w:lineRule="auto"/>
        <w:jc w:val="both"/>
        <w:rPr>
          <w:rFonts w:ascii="Bookman Old Style" w:hAnsi="Bookman Old Style"/>
          <w:sz w:val="22"/>
          <w:szCs w:val="22"/>
          <w:lang w:val="el-GR"/>
        </w:rPr>
      </w:pPr>
      <w:r w:rsidRPr="0023293E">
        <w:rPr>
          <w:rStyle w:val="FootnoteReference"/>
          <w:rFonts w:ascii="Bookman Old Style" w:hAnsi="Bookman Old Style"/>
          <w:sz w:val="22"/>
          <w:szCs w:val="22"/>
        </w:rPr>
        <w:footnoteRef/>
      </w:r>
      <w:r w:rsidRPr="0023293E">
        <w:rPr>
          <w:rFonts w:ascii="Bookman Old Style" w:hAnsi="Bookman Old Style"/>
          <w:sz w:val="22"/>
          <w:szCs w:val="22"/>
          <w:lang w:val="el-GR"/>
        </w:rPr>
        <w:t xml:space="preserve"> Όπως επισημάνθηκε στη σελίδα 1589</w:t>
      </w:r>
      <w:r>
        <w:rPr>
          <w:rFonts w:ascii="Bookman Old Style" w:hAnsi="Bookman Old Style"/>
          <w:sz w:val="22"/>
          <w:szCs w:val="22"/>
          <w:lang w:val="el-GR"/>
        </w:rPr>
        <w:t xml:space="preserve"> της υπόθεσης </w:t>
      </w:r>
      <w:r w:rsidR="00D77413" w:rsidRPr="00D77413">
        <w:rPr>
          <w:rFonts w:ascii="Bookman Old Style" w:hAnsi="Bookman Old Style"/>
          <w:b/>
          <w:bCs/>
          <w:i/>
          <w:iCs/>
          <w:sz w:val="22"/>
          <w:szCs w:val="22"/>
          <w:lang w:val="en-US"/>
        </w:rPr>
        <w:t>Lani</w:t>
      </w:r>
      <w:r w:rsidR="00D77413" w:rsidRPr="00D77413">
        <w:rPr>
          <w:rFonts w:ascii="Bookman Old Style" w:hAnsi="Bookman Old Style"/>
          <w:sz w:val="22"/>
          <w:szCs w:val="22"/>
          <w:lang w:val="el-GR"/>
        </w:rPr>
        <w:t xml:space="preserve"> </w:t>
      </w:r>
      <w:r w:rsidR="00D77413">
        <w:rPr>
          <w:rFonts w:ascii="Bookman Old Style" w:hAnsi="Bookman Old Style"/>
          <w:sz w:val="22"/>
          <w:szCs w:val="22"/>
          <w:lang w:val="el-GR"/>
        </w:rPr>
        <w:t>(ανωτέρω)</w:t>
      </w:r>
      <w:r w:rsidRPr="0023293E">
        <w:rPr>
          <w:rFonts w:ascii="Bookman Old Style" w:hAnsi="Bookman Old Style"/>
          <w:sz w:val="22"/>
          <w:szCs w:val="22"/>
          <w:lang w:val="el-GR"/>
        </w:rPr>
        <w:t>:</w:t>
      </w:r>
    </w:p>
    <w:p w14:paraId="4DBD43E9" w14:textId="77777777" w:rsidR="00AC2FD6" w:rsidRDefault="00AC2FD6" w:rsidP="0023293E">
      <w:pPr>
        <w:pStyle w:val="FootnoteText"/>
        <w:spacing w:line="276" w:lineRule="auto"/>
        <w:jc w:val="both"/>
        <w:rPr>
          <w:rFonts w:ascii="Bookman Old Style" w:hAnsi="Bookman Old Style"/>
          <w:sz w:val="22"/>
          <w:szCs w:val="22"/>
          <w:lang w:val="el-GR"/>
        </w:rPr>
      </w:pPr>
    </w:p>
    <w:p w14:paraId="540D73F8" w14:textId="5E2874DC" w:rsidR="0023293E" w:rsidRPr="003E48DF" w:rsidRDefault="0023293E" w:rsidP="0023293E">
      <w:pPr>
        <w:pStyle w:val="FootnoteText"/>
        <w:spacing w:line="276" w:lineRule="auto"/>
        <w:jc w:val="both"/>
        <w:rPr>
          <w:rFonts w:ascii="Bookman Old Style" w:hAnsi="Bookman Old Style"/>
          <w:sz w:val="22"/>
          <w:szCs w:val="22"/>
          <w:lang w:val="el-GR"/>
        </w:rPr>
      </w:pPr>
      <w:r>
        <w:rPr>
          <w:rFonts w:ascii="Bookman Old Style" w:hAnsi="Bookman Old Style" w:cs="Tahoma"/>
          <w:spacing w:val="-2"/>
          <w:sz w:val="22"/>
          <w:szCs w:val="22"/>
          <w:lang w:val="el-GR"/>
        </w:rPr>
        <w:t>«</w:t>
      </w:r>
      <w:r w:rsidRPr="003E48DF">
        <w:rPr>
          <w:rFonts w:ascii="Bookman Old Style" w:hAnsi="Bookman Old Style" w:cs="Tahoma"/>
          <w:i/>
          <w:iCs/>
          <w:spacing w:val="-2"/>
          <w:sz w:val="22"/>
          <w:szCs w:val="22"/>
          <w:lang w:val="el-GR"/>
        </w:rPr>
        <w:t>Επιχειρήθηκε από τους Αιτητές να συνδεθεί το εκδοθέν διάταγμα με άμεση παραβίαση του Άρθρου 32 του</w:t>
      </w:r>
      <w:r w:rsidR="00142536">
        <w:rPr>
          <w:rFonts w:ascii="Bookman Old Style" w:hAnsi="Bookman Old Style" w:cs="Tahoma"/>
          <w:i/>
          <w:iCs/>
          <w:spacing w:val="-2"/>
          <w:sz w:val="22"/>
          <w:szCs w:val="22"/>
          <w:lang w:val="el-GR"/>
        </w:rPr>
        <w:t xml:space="preserve"> περί Δικαστηρίων Νόμου, Ν.14/60</w:t>
      </w:r>
      <w:r w:rsidRPr="003E48DF">
        <w:rPr>
          <w:rFonts w:ascii="Bookman Old Style" w:hAnsi="Bookman Old Style" w:cs="Tahoma"/>
          <w:i/>
          <w:iCs/>
          <w:spacing w:val="-2"/>
          <w:sz w:val="22"/>
          <w:szCs w:val="22"/>
          <w:lang w:val="el-GR"/>
        </w:rPr>
        <w:t xml:space="preserve"> και του Άρθρου 9 του</w:t>
      </w:r>
      <w:r w:rsidR="00142536">
        <w:rPr>
          <w:rFonts w:ascii="Bookman Old Style" w:hAnsi="Bookman Old Style" w:cs="Tahoma"/>
          <w:i/>
          <w:iCs/>
          <w:spacing w:val="-2"/>
          <w:sz w:val="22"/>
          <w:szCs w:val="22"/>
          <w:lang w:val="el-GR"/>
        </w:rPr>
        <w:t xml:space="preserve"> περί Πολιτικής Δικονομίας Νόμου, Κεφ.6, </w:t>
      </w:r>
      <w:r w:rsidRPr="003E48DF">
        <w:rPr>
          <w:rFonts w:ascii="Bookman Old Style" w:hAnsi="Bookman Old Style" w:cs="Tahoma"/>
          <w:i/>
          <w:iCs/>
          <w:spacing w:val="-2"/>
          <w:sz w:val="22"/>
          <w:szCs w:val="22"/>
          <w:lang w:val="el-GR"/>
        </w:rPr>
        <w:t xml:space="preserve">και με την επικαλούμενη παρέκκλιση από τις αρχές της φυσικής δικαιοσύνης που επιτάσσουν στο Δικαστήριο να ακούσει και την άλλη πλευρά πριν αποφασίσει. Ειδικά ετέθη ότι θα έπρεπε το εν λόγω διάταγμα να οριστεί επιστρεπτέο ώστε να έχει ισχύ και ότι αυτή η «παρανομία» καθιστά τη διαδικασία τρωτή ώστε να στοιχειοθετείται το αίτημα για άδεια. Παραβλέπεται όμως, κατά την κρίση μου, ότι το εν λόγω διάταγμα εξεδόθη στα πλαίσια μιας Γενικής Αίτησης και της συναφούς </w:t>
      </w:r>
      <w:r w:rsidRPr="003E48DF">
        <w:rPr>
          <w:rFonts w:ascii="Bookman Old Style" w:hAnsi="Bookman Old Style" w:cs="Tahoma"/>
          <w:i/>
          <w:iCs/>
          <w:spacing w:val="-2"/>
          <w:sz w:val="22"/>
          <w:szCs w:val="22"/>
        </w:rPr>
        <w:t>ex</w:t>
      </w:r>
      <w:r w:rsidRPr="003E48DF">
        <w:rPr>
          <w:rFonts w:ascii="Bookman Old Style" w:hAnsi="Bookman Old Style" w:cs="Tahoma"/>
          <w:i/>
          <w:iCs/>
          <w:spacing w:val="-2"/>
          <w:sz w:val="22"/>
          <w:szCs w:val="22"/>
          <w:lang w:val="el-GR"/>
        </w:rPr>
        <w:t xml:space="preserve"> </w:t>
      </w:r>
      <w:r w:rsidRPr="003E48DF">
        <w:rPr>
          <w:rFonts w:ascii="Bookman Old Style" w:hAnsi="Bookman Old Style" w:cs="Tahoma"/>
          <w:i/>
          <w:iCs/>
          <w:spacing w:val="-2"/>
          <w:sz w:val="22"/>
          <w:szCs w:val="22"/>
        </w:rPr>
        <w:t>parte</w:t>
      </w:r>
      <w:r w:rsidRPr="003E48DF">
        <w:rPr>
          <w:rFonts w:ascii="Bookman Old Style" w:hAnsi="Bookman Old Style" w:cs="Tahoma"/>
          <w:i/>
          <w:iCs/>
          <w:spacing w:val="-2"/>
          <w:sz w:val="22"/>
          <w:szCs w:val="22"/>
          <w:lang w:val="el-GR"/>
        </w:rPr>
        <w:t xml:space="preserve"> επίδικης Αίτησης, με βάση το καθορισμένο πλαίσιο που έχω αναφέρει πιο πάνω, όπως προκύπτει από το Κεφ.113. Συνεπώς δεν περιορίζεται η παρούσα διαδικασία στις ειδικές αρχές και προϋποθέσεις που καλύπτουν το Άρθρο 32 του περί Δικαστηρίων Νόμου και του Άρθρου 9 του </w:t>
      </w:r>
      <w:r w:rsidR="00103383">
        <w:rPr>
          <w:rFonts w:ascii="Bookman Old Style" w:hAnsi="Bookman Old Style" w:cs="Tahoma"/>
          <w:i/>
          <w:iCs/>
          <w:spacing w:val="-2"/>
          <w:sz w:val="22"/>
          <w:szCs w:val="22"/>
          <w:lang w:val="el-GR"/>
        </w:rPr>
        <w:t>περί Πολιτικής Δικονομίας Νόμου, Κεφ.6.</w:t>
      </w:r>
      <w:r w:rsidRPr="003E48DF">
        <w:rPr>
          <w:rFonts w:ascii="Bookman Old Style" w:hAnsi="Bookman Old Style" w:cs="Tahoma"/>
          <w:i/>
          <w:iCs/>
          <w:spacing w:val="-2"/>
          <w:sz w:val="22"/>
          <w:szCs w:val="22"/>
          <w:lang w:val="el-GR"/>
        </w:rPr>
        <w:t xml:space="preserve"> Εν πάση περιπτώσει, η αίτηση δεν περιελάμβανε τα πιο πάνω άρθρα στο νομικό της βάθρο. Σαφώς και πρόκειται για ειδική διαδικασία με ειδικό σκοπό. Εξάλλου η μορφή του διατάγματος εκ της φύσεως του και εκ του περιεχομένου του Νόμου που το καλύπτει είναι συγκεκριμένη χρονικά (15 ημέρες) αλλά και στο είδος της εξουσίας που παραχωρεί, (ετοιμασία έκθεσης εμπειρογνώμονα), και δεν έχει καταδειχθεί οποιαδήποτε παράβαση ως προς τη διαδικασία των πιο πάνω άρθρων</w:t>
      </w:r>
      <w:r w:rsidR="00103383">
        <w:rPr>
          <w:rFonts w:ascii="Bookman Old Style" w:hAnsi="Bookman Old Style" w:cs="Tahoma"/>
          <w:i/>
          <w:iCs/>
          <w:spacing w:val="-2"/>
          <w:sz w:val="22"/>
          <w:szCs w:val="22"/>
          <w:lang w:val="el-GR"/>
        </w:rPr>
        <w:t>.</w:t>
      </w:r>
      <w:r w:rsidR="003E48DF" w:rsidRPr="003E48DF">
        <w:rPr>
          <w:rFonts w:ascii="Bookman Old Style" w:hAnsi="Bookman Old Style" w:cs="Tahoma"/>
          <w:spacing w:val="-2"/>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4331FD57" w:rsidR="00CF75E4" w:rsidRDefault="00CF75E4">
    <w:pPr>
      <w:pStyle w:val="Header"/>
      <w:jc w:val="center"/>
    </w:pPr>
    <w:r>
      <w:fldChar w:fldCharType="begin"/>
    </w:r>
    <w:r>
      <w:instrText xml:space="preserve"> PAGE   \* MERGEFORMAT </w:instrText>
    </w:r>
    <w:r>
      <w:fldChar w:fldCharType="separate"/>
    </w:r>
    <w:r w:rsidR="00EB6E41">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5"/>
  </w:num>
  <w:num w:numId="14">
    <w:abstractNumId w:val="2"/>
  </w:num>
  <w:num w:numId="15">
    <w:abstractNumId w:val="8"/>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3697E"/>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8713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0F7844"/>
    <w:rsid w:val="00101DC5"/>
    <w:rsid w:val="001020C0"/>
    <w:rsid w:val="00103383"/>
    <w:rsid w:val="00105780"/>
    <w:rsid w:val="001070CB"/>
    <w:rsid w:val="0011210C"/>
    <w:rsid w:val="00113285"/>
    <w:rsid w:val="001133BB"/>
    <w:rsid w:val="00117C36"/>
    <w:rsid w:val="00120A8A"/>
    <w:rsid w:val="00121049"/>
    <w:rsid w:val="0012137B"/>
    <w:rsid w:val="0012697D"/>
    <w:rsid w:val="001300E1"/>
    <w:rsid w:val="0013347A"/>
    <w:rsid w:val="0013436B"/>
    <w:rsid w:val="00134644"/>
    <w:rsid w:val="001355BC"/>
    <w:rsid w:val="00136F62"/>
    <w:rsid w:val="00137315"/>
    <w:rsid w:val="00137D46"/>
    <w:rsid w:val="00142536"/>
    <w:rsid w:val="00142764"/>
    <w:rsid w:val="00144069"/>
    <w:rsid w:val="00144D59"/>
    <w:rsid w:val="00147228"/>
    <w:rsid w:val="001478D9"/>
    <w:rsid w:val="001505E5"/>
    <w:rsid w:val="001506D1"/>
    <w:rsid w:val="0015347A"/>
    <w:rsid w:val="0016041B"/>
    <w:rsid w:val="001607AD"/>
    <w:rsid w:val="00160B11"/>
    <w:rsid w:val="00162A0D"/>
    <w:rsid w:val="00171E30"/>
    <w:rsid w:val="001725B7"/>
    <w:rsid w:val="0017450C"/>
    <w:rsid w:val="0017483E"/>
    <w:rsid w:val="00182DE0"/>
    <w:rsid w:val="0018425D"/>
    <w:rsid w:val="00186D6E"/>
    <w:rsid w:val="00190856"/>
    <w:rsid w:val="00191456"/>
    <w:rsid w:val="00192204"/>
    <w:rsid w:val="00192F15"/>
    <w:rsid w:val="001950A7"/>
    <w:rsid w:val="00197D26"/>
    <w:rsid w:val="001A0D7E"/>
    <w:rsid w:val="001A1A4B"/>
    <w:rsid w:val="001B23EF"/>
    <w:rsid w:val="001B3040"/>
    <w:rsid w:val="001B4997"/>
    <w:rsid w:val="001B71AD"/>
    <w:rsid w:val="001C3A40"/>
    <w:rsid w:val="001C5EF1"/>
    <w:rsid w:val="001C757D"/>
    <w:rsid w:val="001D0165"/>
    <w:rsid w:val="001E05AA"/>
    <w:rsid w:val="001E09D1"/>
    <w:rsid w:val="001E0A02"/>
    <w:rsid w:val="001E2109"/>
    <w:rsid w:val="001E24B2"/>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B02"/>
    <w:rsid w:val="00212C84"/>
    <w:rsid w:val="00214047"/>
    <w:rsid w:val="00216C55"/>
    <w:rsid w:val="00221854"/>
    <w:rsid w:val="0023057B"/>
    <w:rsid w:val="0023293E"/>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B93"/>
    <w:rsid w:val="002D2DF4"/>
    <w:rsid w:val="002D3C1D"/>
    <w:rsid w:val="002D4F96"/>
    <w:rsid w:val="002D6034"/>
    <w:rsid w:val="002D7BF1"/>
    <w:rsid w:val="002E3336"/>
    <w:rsid w:val="002E4F31"/>
    <w:rsid w:val="002E5CA3"/>
    <w:rsid w:val="002E73C6"/>
    <w:rsid w:val="002E7735"/>
    <w:rsid w:val="002F671E"/>
    <w:rsid w:val="00302035"/>
    <w:rsid w:val="0030216D"/>
    <w:rsid w:val="003031D4"/>
    <w:rsid w:val="003031EF"/>
    <w:rsid w:val="003103D8"/>
    <w:rsid w:val="003158B5"/>
    <w:rsid w:val="00316BE5"/>
    <w:rsid w:val="00316C5D"/>
    <w:rsid w:val="003231CA"/>
    <w:rsid w:val="00323BFF"/>
    <w:rsid w:val="0032535A"/>
    <w:rsid w:val="0032796D"/>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3721"/>
    <w:rsid w:val="00386E2D"/>
    <w:rsid w:val="00394B2D"/>
    <w:rsid w:val="00395154"/>
    <w:rsid w:val="00396A1E"/>
    <w:rsid w:val="00397556"/>
    <w:rsid w:val="003A0304"/>
    <w:rsid w:val="003A158D"/>
    <w:rsid w:val="003A1852"/>
    <w:rsid w:val="003A3BA5"/>
    <w:rsid w:val="003A7ABB"/>
    <w:rsid w:val="003B5736"/>
    <w:rsid w:val="003B5797"/>
    <w:rsid w:val="003B7261"/>
    <w:rsid w:val="003C0033"/>
    <w:rsid w:val="003C2E3E"/>
    <w:rsid w:val="003D3D98"/>
    <w:rsid w:val="003D7822"/>
    <w:rsid w:val="003D7F07"/>
    <w:rsid w:val="003E1C8C"/>
    <w:rsid w:val="003E1F2E"/>
    <w:rsid w:val="003E3157"/>
    <w:rsid w:val="003E4384"/>
    <w:rsid w:val="003E48DF"/>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05E0"/>
    <w:rsid w:val="00464C34"/>
    <w:rsid w:val="004659AE"/>
    <w:rsid w:val="0047079A"/>
    <w:rsid w:val="004727E2"/>
    <w:rsid w:val="00475C42"/>
    <w:rsid w:val="00475EE3"/>
    <w:rsid w:val="00477BA3"/>
    <w:rsid w:val="0048095C"/>
    <w:rsid w:val="00481C30"/>
    <w:rsid w:val="00482618"/>
    <w:rsid w:val="00484799"/>
    <w:rsid w:val="0048527C"/>
    <w:rsid w:val="00486CB3"/>
    <w:rsid w:val="00492802"/>
    <w:rsid w:val="00493030"/>
    <w:rsid w:val="00496B7E"/>
    <w:rsid w:val="00497E25"/>
    <w:rsid w:val="004A086C"/>
    <w:rsid w:val="004A5FFA"/>
    <w:rsid w:val="004B3154"/>
    <w:rsid w:val="004B795E"/>
    <w:rsid w:val="004C29CA"/>
    <w:rsid w:val="004C2E05"/>
    <w:rsid w:val="004C6244"/>
    <w:rsid w:val="004D25BD"/>
    <w:rsid w:val="004D5B88"/>
    <w:rsid w:val="004E3097"/>
    <w:rsid w:val="004E639D"/>
    <w:rsid w:val="004E69CC"/>
    <w:rsid w:val="004E73B5"/>
    <w:rsid w:val="004E7674"/>
    <w:rsid w:val="004F180C"/>
    <w:rsid w:val="004F3B1F"/>
    <w:rsid w:val="004F4363"/>
    <w:rsid w:val="004F4D75"/>
    <w:rsid w:val="004F5616"/>
    <w:rsid w:val="004F7385"/>
    <w:rsid w:val="004F79BA"/>
    <w:rsid w:val="0050070A"/>
    <w:rsid w:val="005023E1"/>
    <w:rsid w:val="00507CB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97BD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6C8D"/>
    <w:rsid w:val="005E71BE"/>
    <w:rsid w:val="005E75B9"/>
    <w:rsid w:val="005E7D07"/>
    <w:rsid w:val="00601276"/>
    <w:rsid w:val="00607D06"/>
    <w:rsid w:val="006136F7"/>
    <w:rsid w:val="00616F8E"/>
    <w:rsid w:val="00624596"/>
    <w:rsid w:val="006247F0"/>
    <w:rsid w:val="006318B0"/>
    <w:rsid w:val="006334D9"/>
    <w:rsid w:val="006338F8"/>
    <w:rsid w:val="00634CA2"/>
    <w:rsid w:val="006351AC"/>
    <w:rsid w:val="00636238"/>
    <w:rsid w:val="00637F1D"/>
    <w:rsid w:val="006444DE"/>
    <w:rsid w:val="00646095"/>
    <w:rsid w:val="00647A1A"/>
    <w:rsid w:val="006517ED"/>
    <w:rsid w:val="0065231D"/>
    <w:rsid w:val="00655996"/>
    <w:rsid w:val="006618B0"/>
    <w:rsid w:val="00670778"/>
    <w:rsid w:val="006711C2"/>
    <w:rsid w:val="006732A5"/>
    <w:rsid w:val="00674ACA"/>
    <w:rsid w:val="006757D1"/>
    <w:rsid w:val="006773DC"/>
    <w:rsid w:val="006809BA"/>
    <w:rsid w:val="00683514"/>
    <w:rsid w:val="006847D1"/>
    <w:rsid w:val="006862A3"/>
    <w:rsid w:val="006906F6"/>
    <w:rsid w:val="0069114A"/>
    <w:rsid w:val="0069157F"/>
    <w:rsid w:val="00691BEC"/>
    <w:rsid w:val="006924A3"/>
    <w:rsid w:val="00692BC5"/>
    <w:rsid w:val="00694AF3"/>
    <w:rsid w:val="00697CB0"/>
    <w:rsid w:val="006A030A"/>
    <w:rsid w:val="006A219E"/>
    <w:rsid w:val="006A35A6"/>
    <w:rsid w:val="006A3C06"/>
    <w:rsid w:val="006A457C"/>
    <w:rsid w:val="006B1138"/>
    <w:rsid w:val="006B1A70"/>
    <w:rsid w:val="006B31A7"/>
    <w:rsid w:val="006C0510"/>
    <w:rsid w:val="006D20A9"/>
    <w:rsid w:val="006D7166"/>
    <w:rsid w:val="006D7A84"/>
    <w:rsid w:val="006E0506"/>
    <w:rsid w:val="006E1250"/>
    <w:rsid w:val="006E136C"/>
    <w:rsid w:val="006F1D6E"/>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029"/>
    <w:rsid w:val="00777A4E"/>
    <w:rsid w:val="0078135B"/>
    <w:rsid w:val="00781979"/>
    <w:rsid w:val="007847B3"/>
    <w:rsid w:val="00791BEC"/>
    <w:rsid w:val="007A0D8E"/>
    <w:rsid w:val="007A1FA8"/>
    <w:rsid w:val="007A3B06"/>
    <w:rsid w:val="007A57DA"/>
    <w:rsid w:val="007B66F0"/>
    <w:rsid w:val="007C03D1"/>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2DDD"/>
    <w:rsid w:val="008034A8"/>
    <w:rsid w:val="00806143"/>
    <w:rsid w:val="008073B1"/>
    <w:rsid w:val="00810B04"/>
    <w:rsid w:val="00813E9D"/>
    <w:rsid w:val="00814C8C"/>
    <w:rsid w:val="00814F25"/>
    <w:rsid w:val="0081642C"/>
    <w:rsid w:val="00821E50"/>
    <w:rsid w:val="00824D29"/>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862B7"/>
    <w:rsid w:val="00891B19"/>
    <w:rsid w:val="008969EE"/>
    <w:rsid w:val="00896E38"/>
    <w:rsid w:val="008A264B"/>
    <w:rsid w:val="008A317B"/>
    <w:rsid w:val="008A6C8C"/>
    <w:rsid w:val="008A7196"/>
    <w:rsid w:val="008A71DD"/>
    <w:rsid w:val="008B113A"/>
    <w:rsid w:val="008B51D7"/>
    <w:rsid w:val="008B67E5"/>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1621"/>
    <w:rsid w:val="00925D22"/>
    <w:rsid w:val="0093112B"/>
    <w:rsid w:val="00932F16"/>
    <w:rsid w:val="0093377F"/>
    <w:rsid w:val="0093471C"/>
    <w:rsid w:val="009363BE"/>
    <w:rsid w:val="00936EE6"/>
    <w:rsid w:val="00940BE8"/>
    <w:rsid w:val="00941000"/>
    <w:rsid w:val="0095010B"/>
    <w:rsid w:val="009517D6"/>
    <w:rsid w:val="00952D41"/>
    <w:rsid w:val="00953421"/>
    <w:rsid w:val="00960BCE"/>
    <w:rsid w:val="0096195E"/>
    <w:rsid w:val="009624A7"/>
    <w:rsid w:val="00962E2D"/>
    <w:rsid w:val="009679DC"/>
    <w:rsid w:val="00972247"/>
    <w:rsid w:val="00972616"/>
    <w:rsid w:val="00975A6E"/>
    <w:rsid w:val="009760A9"/>
    <w:rsid w:val="009761C5"/>
    <w:rsid w:val="00977D17"/>
    <w:rsid w:val="0098186B"/>
    <w:rsid w:val="009823C0"/>
    <w:rsid w:val="00982C82"/>
    <w:rsid w:val="00984862"/>
    <w:rsid w:val="00985691"/>
    <w:rsid w:val="00986266"/>
    <w:rsid w:val="009949BE"/>
    <w:rsid w:val="00996F5D"/>
    <w:rsid w:val="009A0E09"/>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31EA"/>
    <w:rsid w:val="00A24374"/>
    <w:rsid w:val="00A24D9A"/>
    <w:rsid w:val="00A25042"/>
    <w:rsid w:val="00A30478"/>
    <w:rsid w:val="00A41627"/>
    <w:rsid w:val="00A427B0"/>
    <w:rsid w:val="00A4361D"/>
    <w:rsid w:val="00A46EB5"/>
    <w:rsid w:val="00A5037E"/>
    <w:rsid w:val="00A504C2"/>
    <w:rsid w:val="00A54330"/>
    <w:rsid w:val="00A60D55"/>
    <w:rsid w:val="00A66D3C"/>
    <w:rsid w:val="00A67896"/>
    <w:rsid w:val="00A70E96"/>
    <w:rsid w:val="00A72364"/>
    <w:rsid w:val="00A7314E"/>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2FD6"/>
    <w:rsid w:val="00AC6E8B"/>
    <w:rsid w:val="00AD0875"/>
    <w:rsid w:val="00AD0E3B"/>
    <w:rsid w:val="00AD1ED2"/>
    <w:rsid w:val="00AD2192"/>
    <w:rsid w:val="00AD2454"/>
    <w:rsid w:val="00AD4B81"/>
    <w:rsid w:val="00AD6F44"/>
    <w:rsid w:val="00AE75E3"/>
    <w:rsid w:val="00AF455A"/>
    <w:rsid w:val="00AF5968"/>
    <w:rsid w:val="00B0364D"/>
    <w:rsid w:val="00B07023"/>
    <w:rsid w:val="00B123FB"/>
    <w:rsid w:val="00B1460D"/>
    <w:rsid w:val="00B1500D"/>
    <w:rsid w:val="00B15F84"/>
    <w:rsid w:val="00B16916"/>
    <w:rsid w:val="00B16E11"/>
    <w:rsid w:val="00B22D4B"/>
    <w:rsid w:val="00B23134"/>
    <w:rsid w:val="00B23172"/>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260"/>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4D0C"/>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E7959"/>
    <w:rsid w:val="00CF46C0"/>
    <w:rsid w:val="00CF5294"/>
    <w:rsid w:val="00CF5514"/>
    <w:rsid w:val="00CF5E2E"/>
    <w:rsid w:val="00CF75E4"/>
    <w:rsid w:val="00D009E0"/>
    <w:rsid w:val="00D028B7"/>
    <w:rsid w:val="00D11942"/>
    <w:rsid w:val="00D200B0"/>
    <w:rsid w:val="00D227FD"/>
    <w:rsid w:val="00D23897"/>
    <w:rsid w:val="00D24473"/>
    <w:rsid w:val="00D30849"/>
    <w:rsid w:val="00D32F9D"/>
    <w:rsid w:val="00D3529A"/>
    <w:rsid w:val="00D35EA8"/>
    <w:rsid w:val="00D35F65"/>
    <w:rsid w:val="00D366B0"/>
    <w:rsid w:val="00D437C2"/>
    <w:rsid w:val="00D4581D"/>
    <w:rsid w:val="00D45CB3"/>
    <w:rsid w:val="00D4767C"/>
    <w:rsid w:val="00D4778A"/>
    <w:rsid w:val="00D47FDB"/>
    <w:rsid w:val="00D50F95"/>
    <w:rsid w:val="00D56B54"/>
    <w:rsid w:val="00D57A94"/>
    <w:rsid w:val="00D604DD"/>
    <w:rsid w:val="00D60DD5"/>
    <w:rsid w:val="00D65359"/>
    <w:rsid w:val="00D67FAD"/>
    <w:rsid w:val="00D74C58"/>
    <w:rsid w:val="00D75F27"/>
    <w:rsid w:val="00D76012"/>
    <w:rsid w:val="00D77413"/>
    <w:rsid w:val="00D85EB2"/>
    <w:rsid w:val="00D874F9"/>
    <w:rsid w:val="00D95735"/>
    <w:rsid w:val="00D95D64"/>
    <w:rsid w:val="00DA3DA4"/>
    <w:rsid w:val="00DA574B"/>
    <w:rsid w:val="00DA6979"/>
    <w:rsid w:val="00DB395C"/>
    <w:rsid w:val="00DB65F7"/>
    <w:rsid w:val="00DB7912"/>
    <w:rsid w:val="00DD239F"/>
    <w:rsid w:val="00DD2E62"/>
    <w:rsid w:val="00DD33C7"/>
    <w:rsid w:val="00DE33FE"/>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6C2"/>
    <w:rsid w:val="00E41884"/>
    <w:rsid w:val="00E41F0F"/>
    <w:rsid w:val="00E4347D"/>
    <w:rsid w:val="00E43ECC"/>
    <w:rsid w:val="00E50D40"/>
    <w:rsid w:val="00E50EB3"/>
    <w:rsid w:val="00E55A0A"/>
    <w:rsid w:val="00E6449D"/>
    <w:rsid w:val="00E70193"/>
    <w:rsid w:val="00E71828"/>
    <w:rsid w:val="00E728D3"/>
    <w:rsid w:val="00E76BAB"/>
    <w:rsid w:val="00E77455"/>
    <w:rsid w:val="00E81A0F"/>
    <w:rsid w:val="00E845CA"/>
    <w:rsid w:val="00E86CDA"/>
    <w:rsid w:val="00E87640"/>
    <w:rsid w:val="00E92452"/>
    <w:rsid w:val="00E92549"/>
    <w:rsid w:val="00EA61A4"/>
    <w:rsid w:val="00EB04B4"/>
    <w:rsid w:val="00EB5DC6"/>
    <w:rsid w:val="00EB6E41"/>
    <w:rsid w:val="00EC197A"/>
    <w:rsid w:val="00EC2763"/>
    <w:rsid w:val="00ED36A3"/>
    <w:rsid w:val="00ED548F"/>
    <w:rsid w:val="00ED5EE9"/>
    <w:rsid w:val="00EE2726"/>
    <w:rsid w:val="00EF352D"/>
    <w:rsid w:val="00EF4076"/>
    <w:rsid w:val="00EF4C27"/>
    <w:rsid w:val="00F005B8"/>
    <w:rsid w:val="00F00823"/>
    <w:rsid w:val="00F0424A"/>
    <w:rsid w:val="00F20133"/>
    <w:rsid w:val="00F22A71"/>
    <w:rsid w:val="00F23626"/>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612B"/>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E7B5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styleId="NormalWeb">
    <w:name w:val="Normal (Web)"/>
    <w:basedOn w:val="Normal"/>
    <w:uiPriority w:val="99"/>
    <w:unhideWhenUsed/>
    <w:rsid w:val="00214047"/>
    <w:pPr>
      <w:spacing w:before="100" w:beforeAutospacing="1" w:after="100" w:afterAutospacing="1"/>
    </w:pPr>
  </w:style>
  <w:style w:type="paragraph" w:customStyle="1" w:styleId="indent10">
    <w:name w:val="indent1"/>
    <w:basedOn w:val="Normal"/>
    <w:rsid w:val="00214047"/>
    <w:pPr>
      <w:spacing w:before="100" w:beforeAutospacing="1" w:after="100" w:afterAutospacing="1"/>
    </w:pPr>
  </w:style>
  <w:style w:type="paragraph" w:customStyle="1" w:styleId="cybar-text-indent">
    <w:name w:val="cybar-text-indent"/>
    <w:basedOn w:val="Normal"/>
    <w:rsid w:val="00214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6631">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28986197">
      <w:bodyDiv w:val="1"/>
      <w:marLeft w:val="0"/>
      <w:marRight w:val="0"/>
      <w:marTop w:val="0"/>
      <w:marBottom w:val="0"/>
      <w:divBdr>
        <w:top w:val="none" w:sz="0" w:space="0" w:color="auto"/>
        <w:left w:val="none" w:sz="0" w:space="0" w:color="auto"/>
        <w:bottom w:val="none" w:sz="0" w:space="0" w:color="auto"/>
        <w:right w:val="none" w:sz="0" w:space="0" w:color="auto"/>
      </w:divBdr>
    </w:div>
    <w:div w:id="1164515777">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257011995">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909877712">
      <w:bodyDiv w:val="1"/>
      <w:marLeft w:val="0"/>
      <w:marRight w:val="0"/>
      <w:marTop w:val="0"/>
      <w:marBottom w:val="0"/>
      <w:divBdr>
        <w:top w:val="none" w:sz="0" w:space="0" w:color="auto"/>
        <w:left w:val="none" w:sz="0" w:space="0" w:color="auto"/>
        <w:bottom w:val="none" w:sz="0" w:space="0" w:color="auto"/>
        <w:right w:val="none" w:sz="0" w:space="0" w:color="auto"/>
      </w:divBdr>
    </w:div>
    <w:div w:id="205253669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7C61-F2C1-4141-88F2-5805199A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3508</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2024-01-16T08:53:00Z</cp:lastPrinted>
  <dcterms:created xsi:type="dcterms:W3CDTF">2024-01-19T07:17:00Z</dcterms:created>
  <dcterms:modified xsi:type="dcterms:W3CDTF">2024-01-19T07:17:00Z</dcterms:modified>
</cp:coreProperties>
</file>